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873CC8" w:rsidRDefault="00714027" w:rsidP="00C45EE2">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C45EE2" w:rsidRPr="00C45EE2">
        <w:t>на предоставление прав на использование программного обеспечения для нужд АН ДОО «Алмазик»</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F960FB" w:rsidRDefault="00F960FB"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6069F">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D74984">
          <w:rPr>
            <w:noProof/>
            <w:webHidden/>
          </w:rPr>
          <w:t>5</w:t>
        </w:r>
        <w:r w:rsidR="007D36F3">
          <w:rPr>
            <w:noProof/>
            <w:webHidden/>
          </w:rPr>
          <w:fldChar w:fldCharType="end"/>
        </w:r>
      </w:hyperlink>
    </w:p>
    <w:p w:rsidR="007D36F3" w:rsidRDefault="00C950F7">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D74984">
          <w:rPr>
            <w:noProof/>
            <w:webHidden/>
          </w:rPr>
          <w:t>7</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D74984">
          <w:rPr>
            <w:noProof/>
            <w:webHidden/>
          </w:rPr>
          <w:t>8</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D74984">
          <w:rPr>
            <w:noProof/>
            <w:webHidden/>
          </w:rPr>
          <w:t>8</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D74984">
          <w:rPr>
            <w:noProof/>
            <w:webHidden/>
          </w:rPr>
          <w:t>8</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D74984">
          <w:rPr>
            <w:noProof/>
            <w:webHidden/>
          </w:rPr>
          <w:t>23</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D74984">
          <w:rPr>
            <w:noProof/>
            <w:webHidden/>
          </w:rPr>
          <w:t>23</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D74984">
          <w:rPr>
            <w:noProof/>
            <w:webHidden/>
          </w:rPr>
          <w:t>24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D74984">
          <w:rPr>
            <w:noProof/>
            <w:webHidden/>
          </w:rPr>
          <w:t>24</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D74984">
          <w:rPr>
            <w:noProof/>
            <w:webHidden/>
          </w:rPr>
          <w:t>24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D74984">
          <w:rPr>
            <w:noProof/>
            <w:webHidden/>
          </w:rPr>
          <w:t>24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D74984">
          <w:rPr>
            <w:noProof/>
            <w:webHidden/>
          </w:rPr>
          <w:t>25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D74984">
          <w:rPr>
            <w:noProof/>
            <w:webHidden/>
          </w:rPr>
          <w:t>25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D74984">
          <w:rPr>
            <w:noProof/>
            <w:webHidden/>
          </w:rPr>
          <w:t>26</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D74984">
          <w:rPr>
            <w:noProof/>
            <w:webHidden/>
          </w:rPr>
          <w:t>27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D74984">
          <w:rPr>
            <w:noProof/>
            <w:webHidden/>
          </w:rPr>
          <w:t>28</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D74984">
          <w:rPr>
            <w:noProof/>
            <w:webHidden/>
          </w:rPr>
          <w:t>29</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D74984">
          <w:rPr>
            <w:noProof/>
            <w:webHidden/>
          </w:rPr>
          <w:t>31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D74984">
          <w:rPr>
            <w:noProof/>
            <w:webHidden/>
          </w:rPr>
          <w:t>31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D74984">
          <w:rPr>
            <w:noProof/>
            <w:webHidden/>
          </w:rPr>
          <w:t>31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D74984">
          <w:rPr>
            <w:noProof/>
            <w:webHidden/>
          </w:rPr>
          <w:t>32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D74984">
          <w:rPr>
            <w:noProof/>
            <w:webHidden/>
          </w:rPr>
          <w:t>32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D74984">
          <w:rPr>
            <w:noProof/>
            <w:webHidden/>
          </w:rPr>
          <w:t>35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D74984">
          <w:rPr>
            <w:noProof/>
            <w:webHidden/>
          </w:rPr>
          <w:t>36</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D74984">
          <w:rPr>
            <w:noProof/>
            <w:webHidden/>
          </w:rPr>
          <w:t>37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D74984">
          <w:rPr>
            <w:noProof/>
            <w:webHidden/>
          </w:rPr>
          <w:t>39</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D74984">
          <w:rPr>
            <w:noProof/>
            <w:webHidden/>
          </w:rPr>
          <w:t>40</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D74984">
          <w:rPr>
            <w:noProof/>
            <w:webHidden/>
          </w:rPr>
          <w:t>40</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D74984">
          <w:rPr>
            <w:noProof/>
            <w:webHidden/>
          </w:rPr>
          <w:t>41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D74984">
          <w:rPr>
            <w:noProof/>
            <w:webHidden/>
          </w:rPr>
          <w:t>41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D74984">
          <w:rPr>
            <w:noProof/>
            <w:webHidden/>
          </w:rPr>
          <w:t>42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D74984">
          <w:rPr>
            <w:noProof/>
            <w:webHidden/>
          </w:rPr>
          <w:t>42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D74984">
          <w:rPr>
            <w:noProof/>
            <w:webHidden/>
          </w:rPr>
          <w:t>45</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D74984">
          <w:rPr>
            <w:noProof/>
            <w:webHidden/>
          </w:rPr>
          <w:t>45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D74984">
          <w:rPr>
            <w:noProof/>
            <w:webHidden/>
          </w:rPr>
          <w:t>45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D74984">
          <w:rPr>
            <w:noProof/>
            <w:webHidden/>
          </w:rPr>
          <w:t>45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D74984">
          <w:rPr>
            <w:noProof/>
            <w:webHidden/>
          </w:rPr>
          <w:t>46</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D74984">
          <w:rPr>
            <w:noProof/>
            <w:webHidden/>
          </w:rPr>
          <w:t>47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D74984">
          <w:rPr>
            <w:noProof/>
            <w:webHidden/>
          </w:rPr>
          <w:t>47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D74984">
          <w:rPr>
            <w:noProof/>
            <w:webHidden/>
          </w:rPr>
          <w:t>49</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D74984">
          <w:rPr>
            <w:noProof/>
            <w:webHidden/>
          </w:rPr>
          <w:t>49</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D74984">
          <w:rPr>
            <w:noProof/>
            <w:webHidden/>
          </w:rPr>
          <w:t>51</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D74984">
          <w:rPr>
            <w:noProof/>
            <w:webHidden/>
          </w:rPr>
          <w:t>51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D74984">
          <w:rPr>
            <w:noProof/>
            <w:webHidden/>
          </w:rPr>
          <w:t>51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D74984">
          <w:rPr>
            <w:noProof/>
            <w:webHidden/>
          </w:rPr>
          <w:t>52</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D74984">
          <w:rPr>
            <w:noProof/>
            <w:webHidden/>
          </w:rPr>
          <w:t>54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D74984">
          <w:rPr>
            <w:noProof/>
            <w:webHidden/>
          </w:rPr>
          <w:t>54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D74984">
          <w:rPr>
            <w:noProof/>
            <w:webHidden/>
          </w:rPr>
          <w:t>55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D74984">
          <w:rPr>
            <w:noProof/>
            <w:webHidden/>
          </w:rPr>
          <w:t>59</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D74984">
          <w:rPr>
            <w:noProof/>
            <w:webHidden/>
          </w:rPr>
          <w:t>60</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D74984">
          <w:rPr>
            <w:noProof/>
            <w:webHidden/>
          </w:rPr>
          <w:t>62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D74984">
          <w:rPr>
            <w:noProof/>
            <w:webHidden/>
          </w:rPr>
          <w:t>68</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D74984">
          <w:rPr>
            <w:noProof/>
            <w:webHidden/>
          </w:rPr>
          <w:t>73</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D74984">
          <w:rPr>
            <w:noProof/>
            <w:webHidden/>
          </w:rPr>
          <w:t>74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D74984">
          <w:rPr>
            <w:noProof/>
            <w:webHidden/>
          </w:rPr>
          <w:t>74</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D74984">
          <w:rPr>
            <w:noProof/>
            <w:webHidden/>
          </w:rPr>
          <w:t>75</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D74984">
          <w:rPr>
            <w:noProof/>
            <w:webHidden/>
          </w:rPr>
          <w:t>77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D74984">
          <w:rPr>
            <w:noProof/>
            <w:webHidden/>
          </w:rPr>
          <w:t>78</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D74984">
          <w:rPr>
            <w:noProof/>
            <w:webHidden/>
          </w:rPr>
          <w:t>79</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D74984">
          <w:rPr>
            <w:noProof/>
            <w:webHidden/>
          </w:rPr>
          <w:t>81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D74984">
          <w:rPr>
            <w:noProof/>
            <w:webHidden/>
          </w:rPr>
          <w:t>82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D74984">
          <w:rPr>
            <w:noProof/>
            <w:webHidden/>
          </w:rPr>
          <w:t>86</w:t>
        </w:r>
        <w:r w:rsidR="007D36F3">
          <w:rPr>
            <w:noProof/>
            <w:webHidden/>
          </w:rPr>
          <w:fldChar w:fldCharType="end"/>
        </w:r>
      </w:hyperlink>
    </w:p>
    <w:p w:rsidR="007D36F3" w:rsidRDefault="00C950F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D74984">
          <w:rPr>
            <w:noProof/>
            <w:webHidden/>
          </w:rPr>
          <w:t>87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D74984">
          <w:rPr>
            <w:noProof/>
            <w:webHidden/>
          </w:rPr>
          <w:t>87</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D74984">
          <w:rPr>
            <w:noProof/>
            <w:webHidden/>
          </w:rPr>
          <w:t>91</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D74984">
          <w:rPr>
            <w:noProof/>
            <w:webHidden/>
          </w:rPr>
          <w:t>92</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D74984">
          <w:rPr>
            <w:noProof/>
            <w:webHidden/>
          </w:rPr>
          <w:t>93</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D74984">
          <w:rPr>
            <w:noProof/>
            <w:webHidden/>
          </w:rPr>
          <w:t>96</w:t>
        </w:r>
        <w:r w:rsidR="007D36F3">
          <w:rPr>
            <w:noProof/>
            <w:webHidden/>
          </w:rPr>
          <w:fldChar w:fldCharType="end"/>
        </w:r>
      </w:hyperlink>
    </w:p>
    <w:p w:rsidR="007D36F3" w:rsidRDefault="00C950F7"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D74984">
          <w:rPr>
            <w:noProof/>
            <w:webHidden/>
          </w:rPr>
          <w:t>104</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42C5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C45EE2" w:rsidP="00027A74">
            <w:pPr>
              <w:spacing w:before="60" w:after="60"/>
            </w:pPr>
            <w:r w:rsidRPr="00C45EE2">
              <w:t>Предоставление прав на использование программного обеспечения для нужд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526C8" w:rsidP="007526C8">
            <w:pPr>
              <w:tabs>
                <w:tab w:val="left" w:pos="4935"/>
              </w:tabs>
              <w:spacing w:before="60" w:after="60"/>
            </w:pPr>
            <w:r>
              <w:t>Однолотовая</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7526C8" w:rsidTr="00127599">
        <w:tc>
          <w:tcPr>
            <w:tcW w:w="4361" w:type="dxa"/>
            <w:vMerge/>
          </w:tcPr>
          <w:p w:rsidR="007526C8" w:rsidRDefault="007526C8" w:rsidP="007526C8">
            <w:pPr>
              <w:pStyle w:val="ae"/>
              <w:numPr>
                <w:ilvl w:val="0"/>
                <w:numId w:val="18"/>
              </w:numPr>
              <w:spacing w:before="60" w:after="60"/>
              <w:ind w:left="1134"/>
              <w:contextualSpacing/>
              <w:jc w:val="left"/>
              <w:outlineLvl w:val="3"/>
            </w:pPr>
          </w:p>
        </w:tc>
        <w:tc>
          <w:tcPr>
            <w:tcW w:w="6060" w:type="dxa"/>
          </w:tcPr>
          <w:p w:rsidR="007526C8" w:rsidRPr="000805DF" w:rsidRDefault="007526C8" w:rsidP="007526C8">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526C8" w:rsidTr="00127599">
        <w:trPr>
          <w:trHeight w:val="750"/>
        </w:trPr>
        <w:tc>
          <w:tcPr>
            <w:tcW w:w="4361" w:type="dxa"/>
            <w:vMerge/>
          </w:tcPr>
          <w:p w:rsidR="007526C8" w:rsidRDefault="007526C8" w:rsidP="007526C8">
            <w:pPr>
              <w:pStyle w:val="ae"/>
              <w:numPr>
                <w:ilvl w:val="0"/>
                <w:numId w:val="18"/>
              </w:numPr>
              <w:spacing w:before="60" w:after="60"/>
              <w:ind w:left="1134"/>
              <w:jc w:val="left"/>
              <w:outlineLvl w:val="3"/>
            </w:pPr>
          </w:p>
        </w:tc>
        <w:tc>
          <w:tcPr>
            <w:tcW w:w="6060" w:type="dxa"/>
          </w:tcPr>
          <w:p w:rsidR="007526C8" w:rsidRDefault="007526C8" w:rsidP="007526C8">
            <w:pPr>
              <w:spacing w:before="60" w:after="60"/>
            </w:pPr>
            <w:r w:rsidRPr="00F44C2C">
              <w:t>Без возможности выбора нескольких победителей</w:t>
            </w:r>
            <w:r w:rsidRPr="00E84AAE">
              <w:t>.</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C45EE2" w:rsidP="00127599">
            <w:pPr>
              <w:spacing w:before="60" w:after="60"/>
              <w:rPr>
                <w:rFonts w:eastAsia="Times New Roman"/>
                <w:color w:val="000000"/>
                <w:sz w:val="24"/>
                <w:szCs w:val="24"/>
                <w:lang w:eastAsia="ru-RU"/>
              </w:rPr>
            </w:pPr>
            <w:r w:rsidRPr="00987672">
              <w:rPr>
                <w:rFonts w:eastAsia="Times New Roman"/>
                <w:color w:val="000000"/>
                <w:sz w:val="24"/>
                <w:szCs w:val="24"/>
                <w:highlight w:val="yellow"/>
                <w:lang w:eastAsia="ru-RU"/>
              </w:rPr>
              <w:t>333 986</w:t>
            </w:r>
            <w:r w:rsidR="00822803" w:rsidRPr="00987672">
              <w:rPr>
                <w:rFonts w:eastAsia="Times New Roman"/>
                <w:color w:val="000000"/>
                <w:sz w:val="24"/>
                <w:szCs w:val="24"/>
                <w:highlight w:val="yellow"/>
                <w:lang w:eastAsia="ru-RU"/>
              </w:rPr>
              <w:t xml:space="preserve"> </w:t>
            </w:r>
            <w:r w:rsidR="00E04914" w:rsidRPr="00987672">
              <w:rPr>
                <w:highlight w:val="yellow"/>
              </w:rPr>
              <w:t>(</w:t>
            </w:r>
            <w:r w:rsidRPr="00987672">
              <w:rPr>
                <w:highlight w:val="yellow"/>
              </w:rPr>
              <w:t xml:space="preserve">Триста тридцать три тысячи девятьсот восемьдесят </w:t>
            </w:r>
            <w:bookmarkStart w:id="36" w:name="_GoBack"/>
            <w:bookmarkEnd w:id="36"/>
            <w:r w:rsidRPr="00987672">
              <w:rPr>
                <w:highlight w:val="yellow"/>
              </w:rPr>
              <w:t>шесть</w:t>
            </w:r>
            <w:r w:rsidR="00E04914" w:rsidRPr="00987672">
              <w:rPr>
                <w:highlight w:val="yellow"/>
              </w:rPr>
              <w:t>)</w:t>
            </w:r>
            <w:r w:rsidR="00FB0E56" w:rsidRPr="00987672">
              <w:rPr>
                <w:highlight w:val="yellow"/>
              </w:rPr>
              <w:t xml:space="preserve"> рубл</w:t>
            </w:r>
            <w:r w:rsidR="00027A74" w:rsidRPr="00987672">
              <w:rPr>
                <w:highlight w:val="yellow"/>
              </w:rPr>
              <w:t>ей</w:t>
            </w:r>
            <w:r w:rsidR="00E04914" w:rsidRPr="00987672">
              <w:rPr>
                <w:highlight w:val="yellow"/>
              </w:rPr>
              <w:t xml:space="preserve"> </w:t>
            </w:r>
            <w:r w:rsidR="00F80BE0" w:rsidRPr="00987672">
              <w:rPr>
                <w:highlight w:val="yellow"/>
              </w:rPr>
              <w:t>44 копейки</w:t>
            </w:r>
            <w:r w:rsidR="00987672" w:rsidRPr="00987672">
              <w:rPr>
                <w:highlight w:val="yellow"/>
              </w:rPr>
              <w:t xml:space="preserve"> с учетом НДС</w:t>
            </w:r>
            <w:r w:rsidR="00987672">
              <w:t>.</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7" w:name="_Ref446066860"/>
            <w:r>
              <w:t xml:space="preserve">Место приёма заявок: </w:t>
            </w:r>
          </w:p>
          <w:bookmarkEnd w:id="37"/>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F80BE0" w:rsidP="005001EE">
            <w:pPr>
              <w:spacing w:before="60" w:after="60"/>
              <w:rPr>
                <w:highlight w:val="yellow"/>
              </w:rPr>
            </w:pPr>
            <w:r>
              <w:rPr>
                <w:highlight w:val="yellow"/>
              </w:rPr>
              <w:t>с 24.03.2021 по 06.04</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F80BE0" w:rsidP="006A6D04">
            <w:pPr>
              <w:spacing w:before="60" w:after="60"/>
              <w:rPr>
                <w:highlight w:val="yellow"/>
              </w:rPr>
            </w:pPr>
            <w:r>
              <w:rPr>
                <w:highlight w:val="yellow"/>
              </w:rPr>
              <w:t>с 24</w:t>
            </w:r>
            <w:r w:rsidR="00027A74">
              <w:rPr>
                <w:highlight w:val="yellow"/>
              </w:rPr>
              <w:t>.03</w:t>
            </w:r>
            <w:r w:rsidR="00F960FB">
              <w:rPr>
                <w:highlight w:val="yellow"/>
              </w:rPr>
              <w:t xml:space="preserve">.2021 по </w:t>
            </w:r>
            <w:r>
              <w:rPr>
                <w:highlight w:val="yellow"/>
              </w:rPr>
              <w:t>01.04</w:t>
            </w:r>
            <w:r w:rsidR="007526C8">
              <w:rPr>
                <w:highlight w:val="yellow"/>
              </w:rPr>
              <w:t>.2021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8" w:name="_Ref463530950"/>
            <w:r>
              <w:t>Срок для отзыва заявки</w:t>
            </w:r>
            <w:bookmarkEnd w:id="38"/>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9" w:name="_Ref446068327"/>
            <w:r w:rsidRPr="00C40C8F">
              <w:t>Место, дата и время вскрытия конвертов с заявками на участие в закупке:</w:t>
            </w:r>
            <w:r>
              <w:t xml:space="preserve"> </w:t>
            </w:r>
            <w:bookmarkEnd w:id="39"/>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t xml:space="preserve">Дата и время вскрытия </w:t>
            </w:r>
            <w:r w:rsidR="00F80BE0">
              <w:rPr>
                <w:highlight w:val="yellow"/>
              </w:rPr>
              <w:t>конвертов: 07.04</w:t>
            </w:r>
            <w:r w:rsidR="005001EE">
              <w:rPr>
                <w:highlight w:val="yellow"/>
              </w:rPr>
              <w:t>.2021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lastRenderedPageBreak/>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127599" w:rsidRPr="0049225C" w:rsidRDefault="00127599" w:rsidP="005001EE">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F80BE0">
              <w:rPr>
                <w:sz w:val="24"/>
                <w:szCs w:val="24"/>
                <w:highlight w:val="yellow"/>
              </w:rPr>
              <w:t>13</w:t>
            </w:r>
            <w:r w:rsidR="00027A74">
              <w:rPr>
                <w:sz w:val="24"/>
                <w:szCs w:val="24"/>
                <w:highlight w:val="yellow"/>
              </w:rPr>
              <w:t>.04</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F80BE0">
              <w:rPr>
                <w:szCs w:val="24"/>
                <w:highlight w:val="yellow"/>
              </w:rPr>
              <w:t>16</w:t>
            </w:r>
            <w:r w:rsidR="00027A74">
              <w:rPr>
                <w:szCs w:val="24"/>
                <w:highlight w:val="yellow"/>
              </w:rPr>
              <w:t>.04</w:t>
            </w:r>
            <w:r>
              <w:rPr>
                <w:szCs w:val="24"/>
                <w:highlight w:val="yellow"/>
              </w:rPr>
              <w:t>.202</w:t>
            </w:r>
            <w:r w:rsidR="006B04C7">
              <w:rPr>
                <w:szCs w:val="24"/>
              </w:rPr>
              <w:t>1</w:t>
            </w:r>
            <w:r>
              <w:rPr>
                <w:szCs w:val="24"/>
              </w:rPr>
              <w:t xml:space="preserve"> </w:t>
            </w:r>
            <w:r w:rsidRPr="00774483">
              <w:rPr>
                <w:szCs w:val="24"/>
              </w:rPr>
              <w:t>в 11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2" w:name="_Ref446506887"/>
            <w:r>
              <w:t>Срок действия заявки:</w:t>
            </w:r>
            <w:bookmarkEnd w:id="42"/>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3" w:name="_Ref446067050"/>
            <w:r>
              <w:t>Срок заключения договора:</w:t>
            </w:r>
            <w:bookmarkEnd w:id="43"/>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4" w:name="_Ref464060966"/>
            <w:r>
              <w:t xml:space="preserve">Валюта </w:t>
            </w:r>
            <w:r w:rsidRPr="00E86DB1">
              <w:t>заявки и договора</w:t>
            </w:r>
            <w:r>
              <w:t>:</w:t>
            </w:r>
            <w:bookmarkEnd w:id="44"/>
          </w:p>
        </w:tc>
        <w:tc>
          <w:tcPr>
            <w:tcW w:w="6060" w:type="dxa"/>
          </w:tcPr>
          <w:p w:rsidR="00127599" w:rsidRPr="009368CA" w:rsidRDefault="00127599" w:rsidP="00127599">
            <w:pPr>
              <w:spacing w:before="60" w:after="60"/>
              <w:rPr>
                <w:highlight w:val="yellow"/>
              </w:rPr>
            </w:pPr>
            <w:r>
              <w:t xml:space="preserve">Российский рубль </w:t>
            </w:r>
          </w:p>
        </w:tc>
      </w:tr>
      <w:tr w:rsidR="00B979F0" w:rsidTr="00127599">
        <w:tc>
          <w:tcPr>
            <w:tcW w:w="4361" w:type="dxa"/>
          </w:tcPr>
          <w:p w:rsidR="00B979F0" w:rsidRDefault="00B979F0" w:rsidP="00B979F0">
            <w:pPr>
              <w:pStyle w:val="111"/>
              <w:spacing w:before="0"/>
            </w:pPr>
            <w:bookmarkStart w:id="45" w:name="_Ref464232543"/>
            <w:r w:rsidRPr="006004AD">
              <w:t>Требования к описанию продукции</w:t>
            </w:r>
            <w:bookmarkEnd w:id="45"/>
          </w:p>
        </w:tc>
        <w:tc>
          <w:tcPr>
            <w:tcW w:w="6060" w:type="dxa"/>
          </w:tcPr>
          <w:p w:rsidR="00B979F0" w:rsidRDefault="00B979F0" w:rsidP="00B979F0">
            <w:pPr>
              <w:spacing w:before="60" w:after="60"/>
            </w:pPr>
            <w:r w:rsidRPr="00F960FB">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B979F0" w:rsidRPr="006004AD" w:rsidRDefault="00B979F0" w:rsidP="00B979F0">
            <w:pPr>
              <w:spacing w:before="60" w:after="60"/>
            </w:pPr>
          </w:p>
        </w:tc>
      </w:tr>
      <w:tr w:rsidR="00127599" w:rsidTr="00127599">
        <w:tc>
          <w:tcPr>
            <w:tcW w:w="4361" w:type="dxa"/>
          </w:tcPr>
          <w:p w:rsidR="00127599" w:rsidRDefault="00127599" w:rsidP="00127599">
            <w:pPr>
              <w:pStyle w:val="111"/>
              <w:spacing w:before="0"/>
            </w:pPr>
            <w:bookmarkStart w:id="46" w:name="_Ref446067404"/>
            <w:r>
              <w:lastRenderedPageBreak/>
              <w:t>Обеспечение заявки:</w:t>
            </w:r>
            <w:bookmarkEnd w:id="46"/>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7" w:name="_Ref446069966"/>
            <w:r>
              <w:t>Обеспечение исполнения договора:</w:t>
            </w:r>
            <w:bookmarkEnd w:id="47"/>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F960FB" w:rsidTr="00127599">
        <w:tc>
          <w:tcPr>
            <w:tcW w:w="4361" w:type="dxa"/>
          </w:tcPr>
          <w:p w:rsidR="00F960FB" w:rsidRDefault="00F960FB" w:rsidP="00F960FB">
            <w:pPr>
              <w:pStyle w:val="111"/>
              <w:spacing w:before="0"/>
            </w:pPr>
            <w:bookmarkStart w:id="49" w:name="_Ref446079934"/>
            <w:r>
              <w:t>Дополнительные требования к участнику:</w:t>
            </w:r>
            <w:bookmarkEnd w:id="49"/>
          </w:p>
        </w:tc>
        <w:tc>
          <w:tcPr>
            <w:tcW w:w="6060" w:type="dxa"/>
          </w:tcPr>
          <w:p w:rsidR="00F960FB" w:rsidRDefault="00F960FB" w:rsidP="00F960FB">
            <w:pPr>
              <w:spacing w:before="60" w:after="60"/>
            </w:pPr>
            <w:r w:rsidRPr="002C45DE">
              <w:t>Не применимо</w:t>
            </w:r>
            <w:r>
              <w:t>.</w:t>
            </w:r>
          </w:p>
          <w:p w:rsidR="00F960FB" w:rsidRDefault="00F960FB" w:rsidP="00F960FB">
            <w:pPr>
              <w:spacing w:before="60" w:after="60"/>
            </w:pPr>
            <w:r w:rsidRPr="00192AF6" w:rsidDel="004D3184">
              <w:t xml:space="preserve"> </w:t>
            </w:r>
          </w:p>
        </w:tc>
      </w:tr>
      <w:tr w:rsidR="00127599" w:rsidTr="00127599">
        <w:trPr>
          <w:trHeight w:val="1576"/>
        </w:trPr>
        <w:tc>
          <w:tcPr>
            <w:tcW w:w="4361" w:type="dxa"/>
          </w:tcPr>
          <w:p w:rsidR="00127599" w:rsidRDefault="00127599" w:rsidP="00127599">
            <w:pPr>
              <w:pStyle w:val="111"/>
              <w:spacing w:before="0"/>
            </w:pPr>
            <w:bookmarkStart w:id="50" w:name="_Ref446080043"/>
            <w:r>
              <w:t>Привлечение субподрядчиков / соисполнителей:</w:t>
            </w:r>
            <w:bookmarkEnd w:id="50"/>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1" w:name="_Ref446080618"/>
            <w:r>
              <w:t>Требования к коллективному участнику:</w:t>
            </w:r>
            <w:bookmarkEnd w:id="51"/>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2" w:name="_Ref446078645"/>
            <w:r>
              <w:t>Состав документов заявки:</w:t>
            </w:r>
            <w:bookmarkEnd w:id="52"/>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w:t>
            </w:r>
            <w:r w:rsidRPr="00215964">
              <w:lastRenderedPageBreak/>
              <w:t>назначении на должность лица, имеющего  право  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Pr="008C2E30">
              <w:rPr>
                <w:color w:val="FF0000"/>
              </w:rPr>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lastRenderedPageBreak/>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C2E30">
              <w:rPr>
                <w:color w:val="FF0000"/>
              </w:rPr>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851472"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51472" w:rsidRPr="00215964" w:rsidRDefault="00851472" w:rsidP="00127599">
            <w:pPr>
              <w:tabs>
                <w:tab w:val="left" w:pos="2111"/>
              </w:tabs>
              <w:spacing w:before="60" w:after="60"/>
              <w:rPr>
                <w:color w:val="FF0000"/>
              </w:rPr>
            </w:pPr>
            <w:r>
              <w:rPr>
                <w:color w:val="FF0000"/>
              </w:rPr>
              <w:t>2.9. Копия паспорта</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lastRenderedPageBreak/>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851472" w:rsidRDefault="00127599" w:rsidP="00127599">
            <w:pPr>
              <w:tabs>
                <w:tab w:val="left" w:pos="2111"/>
              </w:tabs>
              <w:spacing w:before="60" w:after="60"/>
              <w:rPr>
                <w:b/>
                <w:color w:val="FF0000"/>
                <w:u w:val="single"/>
              </w:rPr>
            </w:pPr>
            <w:r w:rsidRPr="00215964">
              <w:rPr>
                <w:b/>
                <w:u w:val="single"/>
              </w:rPr>
              <w:t xml:space="preserve"> </w:t>
            </w:r>
            <w:r w:rsidRPr="00851472">
              <w:rPr>
                <w:b/>
                <w:color w:val="FF0000"/>
                <w:highlight w:val="yellow"/>
                <w:u w:val="single"/>
              </w:rPr>
              <w:t>Дополнительно к вышеуказанным документам необходимо представить</w:t>
            </w:r>
            <w:r w:rsidRPr="00851472">
              <w:rPr>
                <w:b/>
                <w:highlight w:val="yellow"/>
                <w:u w:val="single"/>
              </w:rPr>
              <w:t>:</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215964">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xml:space="preserve">- </w:t>
            </w:r>
            <w:r w:rsidR="007526C8">
              <w:rPr>
                <w:highlight w:val="yellow"/>
              </w:rPr>
              <w:t xml:space="preserve">подтверждающие </w:t>
            </w:r>
            <w:r w:rsidRPr="00EB7497">
              <w:rPr>
                <w:highlight w:val="yellow"/>
              </w:rPr>
              <w:t>документы, указанные в  п.1.2.26  информационной карты;</w:t>
            </w:r>
          </w:p>
          <w:p w:rsidR="00127599" w:rsidRPr="00215964" w:rsidRDefault="00127599" w:rsidP="00127599">
            <w:pPr>
              <w:tabs>
                <w:tab w:val="left" w:pos="0"/>
              </w:tabs>
              <w:spacing w:before="60" w:after="60"/>
            </w:pPr>
            <w:r w:rsidRPr="00EB7497">
              <w:rPr>
                <w:highlight w:val="yellow"/>
              </w:rPr>
              <w:t xml:space="preserve">- копии </w:t>
            </w:r>
            <w:r w:rsidR="00DF2D26">
              <w:rPr>
                <w:highlight w:val="yellow"/>
              </w:rPr>
              <w:t>подтверждающих документов</w:t>
            </w:r>
            <w:r w:rsidRPr="00EB7497">
              <w:rPr>
                <w:highlight w:val="yellow"/>
              </w:rPr>
              <w:t xml:space="preserve">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w:t>
            </w:r>
            <w:r w:rsidRPr="00215964">
              <w:rPr>
                <w:i/>
              </w:rPr>
              <w:lastRenderedPageBreak/>
              <w:t xml:space="preserve">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127599" w:rsidRDefault="00127599" w:rsidP="00127599">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3" w:name="_Ref446078691"/>
            <w:r>
              <w:lastRenderedPageBreak/>
              <w:t>Требования к копиям заявки:</w:t>
            </w:r>
            <w:bookmarkEnd w:id="53"/>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4" w:name="_Ref446079041"/>
            <w:r>
              <w:t>Критерии и порядок оценки и сопоставления заявок:</w:t>
            </w:r>
            <w:bookmarkEnd w:id="54"/>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5" w:name="_Ref446070173"/>
            <w:r>
              <w:t>Возможность изменения отдельных условий договора:</w:t>
            </w:r>
            <w:bookmarkEnd w:id="55"/>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851472" w:rsidRDefault="00127599" w:rsidP="00127599">
            <w:pPr>
              <w:spacing w:before="60" w:after="60"/>
              <w:rPr>
                <w:highlight w:val="yellow"/>
              </w:rPr>
            </w:pPr>
            <w:r w:rsidRPr="00851472">
              <w:rPr>
                <w:highlight w:val="yellow"/>
              </w:rPr>
              <w:t>Не допускается</w:t>
            </w:r>
          </w:p>
          <w:p w:rsidR="00127599" w:rsidRPr="00851472" w:rsidRDefault="00127599" w:rsidP="00127599">
            <w:pPr>
              <w:spacing w:before="60" w:after="60"/>
              <w:rPr>
                <w:highlight w:val="yellow"/>
              </w:rPr>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42C5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42C5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A458C" w:rsidRDefault="00714027" w:rsidP="007A458C">
      <w:pPr>
        <w:spacing w:before="0"/>
        <w:ind w:firstLine="567"/>
      </w:pPr>
      <w:r w:rsidRPr="00944AAE" w:rsidDel="001E4E38">
        <w:t xml:space="preserve"> </w:t>
      </w:r>
      <w:r w:rsidRPr="009368CA" w:rsidDel="001E4E38">
        <w:rPr>
          <w:highlight w:val="yellow"/>
        </w:rPr>
        <w:t xml:space="preserve"> </w:t>
      </w:r>
    </w:p>
    <w:p w:rsidR="00B979F0" w:rsidRPr="00B979F0" w:rsidRDefault="00B979F0" w:rsidP="00B979F0">
      <w:pPr>
        <w:keepNext/>
        <w:spacing w:before="0" w:after="200" w:line="276" w:lineRule="auto"/>
        <w:rPr>
          <w:b/>
          <w:bCs/>
          <w:caps/>
          <w:snapToGrid w:val="0"/>
        </w:rPr>
      </w:pPr>
      <w:r w:rsidRPr="00B979F0">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B979F0" w:rsidRPr="00B979F0" w:rsidTr="00C45EE2">
        <w:tc>
          <w:tcPr>
            <w:tcW w:w="675" w:type="dxa"/>
            <w:shd w:val="clear" w:color="auto" w:fill="auto"/>
            <w:vAlign w:val="center"/>
          </w:tcPr>
          <w:p w:rsidR="00B979F0" w:rsidRPr="00B979F0" w:rsidRDefault="00B979F0" w:rsidP="00B979F0">
            <w:pPr>
              <w:tabs>
                <w:tab w:val="left" w:pos="1261"/>
              </w:tabs>
              <w:spacing w:before="0"/>
              <w:ind w:right="1012"/>
              <w:jc w:val="center"/>
              <w:rPr>
                <w:sz w:val="24"/>
              </w:rPr>
            </w:pPr>
            <w:r w:rsidRPr="00B979F0">
              <w:rPr>
                <w:sz w:val="24"/>
              </w:rPr>
              <w:t>№</w:t>
            </w:r>
          </w:p>
        </w:tc>
        <w:tc>
          <w:tcPr>
            <w:tcW w:w="1877" w:type="dxa"/>
            <w:vAlign w:val="center"/>
          </w:tcPr>
          <w:p w:rsidR="00B979F0" w:rsidRPr="00B979F0" w:rsidRDefault="00B979F0" w:rsidP="00B979F0">
            <w:pPr>
              <w:spacing w:before="0"/>
              <w:ind w:left="-74" w:right="-108"/>
              <w:jc w:val="center"/>
              <w:rPr>
                <w:sz w:val="24"/>
              </w:rPr>
            </w:pPr>
            <w:r w:rsidRPr="00B979F0">
              <w:rPr>
                <w:sz w:val="24"/>
              </w:rPr>
              <w:t>Наименование единицы товара</w:t>
            </w:r>
          </w:p>
        </w:tc>
        <w:tc>
          <w:tcPr>
            <w:tcW w:w="1985" w:type="dxa"/>
            <w:shd w:val="clear" w:color="auto" w:fill="auto"/>
            <w:vAlign w:val="center"/>
          </w:tcPr>
          <w:p w:rsidR="00B979F0" w:rsidRPr="00B979F0" w:rsidRDefault="00B979F0" w:rsidP="00B979F0">
            <w:pPr>
              <w:spacing w:before="0"/>
              <w:ind w:left="-108" w:right="-108"/>
              <w:jc w:val="center"/>
              <w:rPr>
                <w:sz w:val="24"/>
              </w:rPr>
            </w:pPr>
            <w:r w:rsidRPr="00B979F0">
              <w:rPr>
                <w:sz w:val="24"/>
              </w:rPr>
              <w:t>Наименование параметра</w:t>
            </w:r>
          </w:p>
        </w:tc>
        <w:tc>
          <w:tcPr>
            <w:tcW w:w="1701" w:type="dxa"/>
            <w:shd w:val="clear" w:color="auto" w:fill="auto"/>
            <w:vAlign w:val="center"/>
          </w:tcPr>
          <w:p w:rsidR="00B979F0" w:rsidRPr="00B979F0" w:rsidRDefault="00B979F0" w:rsidP="00B979F0">
            <w:pPr>
              <w:spacing w:before="0"/>
              <w:jc w:val="center"/>
              <w:rPr>
                <w:sz w:val="24"/>
              </w:rPr>
            </w:pPr>
            <w:r w:rsidRPr="00B979F0">
              <w:rPr>
                <w:sz w:val="24"/>
              </w:rPr>
              <w:t>Требование Заказчика</w:t>
            </w:r>
          </w:p>
        </w:tc>
        <w:tc>
          <w:tcPr>
            <w:tcW w:w="1842" w:type="dxa"/>
            <w:shd w:val="clear" w:color="auto" w:fill="auto"/>
            <w:vAlign w:val="center"/>
          </w:tcPr>
          <w:p w:rsidR="00B979F0" w:rsidRPr="00B979F0" w:rsidRDefault="00B979F0" w:rsidP="00B979F0">
            <w:pPr>
              <w:spacing w:before="0"/>
              <w:ind w:left="-108" w:right="-108"/>
              <w:jc w:val="center"/>
              <w:rPr>
                <w:sz w:val="24"/>
              </w:rPr>
            </w:pPr>
            <w:r w:rsidRPr="00B979F0">
              <w:rPr>
                <w:sz w:val="24"/>
              </w:rPr>
              <w:t>Предложение Участника</w:t>
            </w:r>
          </w:p>
        </w:tc>
        <w:tc>
          <w:tcPr>
            <w:tcW w:w="1843" w:type="dxa"/>
            <w:shd w:val="clear" w:color="auto" w:fill="auto"/>
            <w:vAlign w:val="center"/>
          </w:tcPr>
          <w:p w:rsidR="00B979F0" w:rsidRPr="00B979F0" w:rsidRDefault="00B979F0" w:rsidP="00B979F0">
            <w:pPr>
              <w:spacing w:before="0"/>
              <w:ind w:left="-108" w:right="-108"/>
              <w:jc w:val="center"/>
              <w:rPr>
                <w:sz w:val="24"/>
              </w:rPr>
            </w:pPr>
            <w:r w:rsidRPr="00B979F0">
              <w:rPr>
                <w:sz w:val="24"/>
              </w:rPr>
              <w:t>Страна происхождения товара</w:t>
            </w:r>
          </w:p>
        </w:tc>
      </w:tr>
      <w:tr w:rsidR="00B979F0" w:rsidRPr="00B979F0" w:rsidTr="00C45EE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t>1.</w:t>
            </w:r>
          </w:p>
        </w:tc>
        <w:tc>
          <w:tcPr>
            <w:tcW w:w="1877" w:type="dxa"/>
          </w:tcPr>
          <w:p w:rsidR="00B979F0" w:rsidRPr="00B979F0" w:rsidRDefault="00B979F0" w:rsidP="00B979F0">
            <w:pPr>
              <w:spacing w:before="0" w:after="200" w:line="276" w:lineRule="auto"/>
              <w:jc w:val="left"/>
              <w:rPr>
                <w:sz w:val="24"/>
              </w:rPr>
            </w:pPr>
          </w:p>
        </w:tc>
        <w:tc>
          <w:tcPr>
            <w:tcW w:w="1985" w:type="dxa"/>
            <w:shd w:val="clear" w:color="auto" w:fill="auto"/>
          </w:tcPr>
          <w:p w:rsidR="00B979F0" w:rsidRPr="00B979F0" w:rsidRDefault="00B979F0" w:rsidP="00B979F0">
            <w:pPr>
              <w:spacing w:before="0" w:after="200" w:line="276" w:lineRule="auto"/>
              <w:jc w:val="left"/>
              <w:rPr>
                <w:sz w:val="24"/>
              </w:rPr>
            </w:pPr>
          </w:p>
        </w:tc>
        <w:tc>
          <w:tcPr>
            <w:tcW w:w="1701" w:type="dxa"/>
            <w:shd w:val="clear" w:color="auto" w:fill="auto"/>
          </w:tcPr>
          <w:p w:rsidR="00B979F0" w:rsidRPr="00B979F0" w:rsidRDefault="00B979F0" w:rsidP="00B979F0">
            <w:pPr>
              <w:spacing w:before="0" w:after="200" w:line="276" w:lineRule="auto"/>
              <w:jc w:val="left"/>
              <w:rPr>
                <w:sz w:val="24"/>
              </w:rPr>
            </w:pPr>
          </w:p>
        </w:tc>
        <w:tc>
          <w:tcPr>
            <w:tcW w:w="1842" w:type="dxa"/>
            <w:shd w:val="clear" w:color="auto" w:fill="auto"/>
          </w:tcPr>
          <w:p w:rsidR="00B979F0" w:rsidRPr="00B979F0" w:rsidRDefault="00B979F0" w:rsidP="00B979F0">
            <w:pPr>
              <w:spacing w:before="0" w:after="200" w:line="276" w:lineRule="auto"/>
              <w:jc w:val="left"/>
              <w:rPr>
                <w:sz w:val="24"/>
              </w:rPr>
            </w:pPr>
          </w:p>
        </w:tc>
        <w:tc>
          <w:tcPr>
            <w:tcW w:w="1843" w:type="dxa"/>
            <w:shd w:val="clear" w:color="auto" w:fill="auto"/>
          </w:tcPr>
          <w:p w:rsidR="00B979F0" w:rsidRPr="00B979F0" w:rsidRDefault="00B979F0" w:rsidP="00B979F0">
            <w:pPr>
              <w:spacing w:before="0" w:after="200" w:line="276" w:lineRule="auto"/>
              <w:jc w:val="left"/>
              <w:rPr>
                <w:sz w:val="24"/>
              </w:rPr>
            </w:pPr>
          </w:p>
        </w:tc>
      </w:tr>
      <w:tr w:rsidR="00B979F0" w:rsidRPr="00B979F0" w:rsidTr="00C45EE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t>…</w:t>
            </w:r>
          </w:p>
        </w:tc>
        <w:tc>
          <w:tcPr>
            <w:tcW w:w="1877" w:type="dxa"/>
          </w:tcPr>
          <w:p w:rsidR="00B979F0" w:rsidRPr="00B979F0" w:rsidRDefault="00B979F0" w:rsidP="00B979F0">
            <w:pPr>
              <w:spacing w:before="0" w:after="200" w:line="276" w:lineRule="auto"/>
              <w:jc w:val="left"/>
              <w:rPr>
                <w:sz w:val="24"/>
              </w:rPr>
            </w:pPr>
          </w:p>
        </w:tc>
        <w:tc>
          <w:tcPr>
            <w:tcW w:w="1985" w:type="dxa"/>
            <w:shd w:val="clear" w:color="auto" w:fill="auto"/>
          </w:tcPr>
          <w:p w:rsidR="00B979F0" w:rsidRPr="00B979F0" w:rsidRDefault="00B979F0" w:rsidP="00B979F0">
            <w:pPr>
              <w:spacing w:before="0" w:after="200" w:line="276" w:lineRule="auto"/>
              <w:jc w:val="left"/>
              <w:rPr>
                <w:sz w:val="24"/>
              </w:rPr>
            </w:pPr>
          </w:p>
        </w:tc>
        <w:tc>
          <w:tcPr>
            <w:tcW w:w="1701" w:type="dxa"/>
            <w:shd w:val="clear" w:color="auto" w:fill="auto"/>
          </w:tcPr>
          <w:p w:rsidR="00B979F0" w:rsidRPr="00B979F0" w:rsidRDefault="00B979F0" w:rsidP="00B979F0">
            <w:pPr>
              <w:spacing w:before="0" w:after="200" w:line="276" w:lineRule="auto"/>
              <w:jc w:val="left"/>
              <w:rPr>
                <w:sz w:val="24"/>
              </w:rPr>
            </w:pPr>
          </w:p>
        </w:tc>
        <w:tc>
          <w:tcPr>
            <w:tcW w:w="1842" w:type="dxa"/>
            <w:shd w:val="clear" w:color="auto" w:fill="auto"/>
          </w:tcPr>
          <w:p w:rsidR="00B979F0" w:rsidRPr="00B979F0" w:rsidRDefault="00B979F0" w:rsidP="00B979F0">
            <w:pPr>
              <w:spacing w:before="0" w:after="200" w:line="276" w:lineRule="auto"/>
              <w:jc w:val="left"/>
              <w:rPr>
                <w:sz w:val="24"/>
              </w:rPr>
            </w:pPr>
          </w:p>
        </w:tc>
        <w:tc>
          <w:tcPr>
            <w:tcW w:w="1843" w:type="dxa"/>
            <w:shd w:val="clear" w:color="auto" w:fill="auto"/>
          </w:tcPr>
          <w:p w:rsidR="00B979F0" w:rsidRPr="00B979F0" w:rsidRDefault="00B979F0" w:rsidP="00B979F0">
            <w:pPr>
              <w:spacing w:before="0" w:after="200" w:line="276" w:lineRule="auto"/>
              <w:jc w:val="left"/>
              <w:rPr>
                <w:sz w:val="24"/>
              </w:rPr>
            </w:pPr>
          </w:p>
        </w:tc>
      </w:tr>
    </w:tbl>
    <w:p w:rsidR="00B979F0" w:rsidRPr="00B979F0" w:rsidRDefault="00B979F0" w:rsidP="00B979F0">
      <w:pPr>
        <w:rPr>
          <w:i/>
          <w:highlight w:val="lightGray"/>
        </w:rPr>
      </w:pPr>
      <w:r w:rsidRPr="00B979F0">
        <w:t>[</w:t>
      </w:r>
      <w:r w:rsidRPr="00B979F0">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B979F0">
        <w:t>]</w:t>
      </w:r>
    </w:p>
    <w:p w:rsidR="00B979F0" w:rsidRPr="00B979F0" w:rsidRDefault="00B979F0" w:rsidP="00B979F0">
      <w:pPr>
        <w:spacing w:before="360"/>
        <w:rPr>
          <w:highlight w:val="yellow"/>
        </w:rPr>
      </w:pPr>
      <w:r w:rsidRPr="00B979F0">
        <w:rPr>
          <w:snapToGrid w:val="0"/>
        </w:rPr>
        <w:t>Настоящим мы подтверждаем, что иные характеристики предлагаемой продукции полностью соответствуют требованиям Заказчик</w:t>
      </w:r>
      <w:r w:rsidRPr="00B979F0">
        <w:t>а, изложенным в документации о закупке.</w:t>
      </w:r>
    </w:p>
    <w:p w:rsidR="00B979F0" w:rsidRPr="00B979F0" w:rsidRDefault="00B979F0" w:rsidP="00B979F0">
      <w:pPr>
        <w:spacing w:before="0"/>
        <w:ind w:firstLine="567"/>
        <w:rPr>
          <w:rFonts w:eastAsia="Times New Roman"/>
          <w:snapToGrid w:val="0"/>
          <w:sz w:val="24"/>
          <w:szCs w:val="28"/>
          <w:lang w:eastAsia="ru-RU"/>
        </w:rPr>
      </w:pPr>
    </w:p>
    <w:p w:rsidR="00B979F0" w:rsidRPr="00B979F0" w:rsidRDefault="00B979F0" w:rsidP="00B979F0">
      <w:pPr>
        <w:spacing w:before="0"/>
        <w:rPr>
          <w:rFonts w:eastAsia="Times New Roman"/>
          <w:b/>
          <w:snapToGrid w:val="0"/>
          <w:sz w:val="24"/>
          <w:szCs w:val="28"/>
          <w:lang w:eastAsia="ru-RU"/>
        </w:rPr>
      </w:pPr>
    </w:p>
    <w:p w:rsidR="00B979F0" w:rsidRPr="00B979F0" w:rsidRDefault="00B979F0" w:rsidP="00B979F0">
      <w:pPr>
        <w:spacing w:before="0"/>
        <w:rPr>
          <w:rFonts w:eastAsia="Times New Roman"/>
          <w:b/>
          <w:snapToGrid w:val="0"/>
          <w:sz w:val="24"/>
          <w:szCs w:val="28"/>
          <w:lang w:eastAsia="ru-RU"/>
        </w:rPr>
      </w:pPr>
      <w:r w:rsidRPr="00B979F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B979F0" w:rsidRPr="00B979F0" w:rsidRDefault="00B979F0" w:rsidP="00B979F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B979F0" w:rsidRPr="00B979F0" w:rsidTr="00C45EE2">
        <w:tc>
          <w:tcPr>
            <w:tcW w:w="675" w:type="dxa"/>
            <w:shd w:val="clear" w:color="auto" w:fill="auto"/>
            <w:vAlign w:val="center"/>
          </w:tcPr>
          <w:p w:rsidR="00B979F0" w:rsidRPr="00B979F0" w:rsidRDefault="00B979F0" w:rsidP="00B979F0">
            <w:pPr>
              <w:tabs>
                <w:tab w:val="left" w:pos="1261"/>
              </w:tabs>
              <w:spacing w:before="0"/>
              <w:ind w:right="1012"/>
              <w:jc w:val="center"/>
              <w:rPr>
                <w:sz w:val="24"/>
              </w:rPr>
            </w:pPr>
            <w:r w:rsidRPr="00B979F0">
              <w:rPr>
                <w:sz w:val="24"/>
              </w:rPr>
              <w:t>№</w:t>
            </w:r>
          </w:p>
        </w:tc>
        <w:tc>
          <w:tcPr>
            <w:tcW w:w="6413" w:type="dxa"/>
            <w:vAlign w:val="center"/>
          </w:tcPr>
          <w:p w:rsidR="00B979F0" w:rsidRPr="00B979F0" w:rsidRDefault="00B979F0" w:rsidP="00B979F0">
            <w:pPr>
              <w:spacing w:before="0"/>
              <w:ind w:left="-74" w:right="-108"/>
              <w:jc w:val="center"/>
              <w:rPr>
                <w:sz w:val="24"/>
              </w:rPr>
            </w:pPr>
            <w:r w:rsidRPr="00B979F0">
              <w:rPr>
                <w:sz w:val="24"/>
              </w:rPr>
              <w:t>Наименование единицы товара</w:t>
            </w:r>
          </w:p>
        </w:tc>
        <w:tc>
          <w:tcPr>
            <w:tcW w:w="3260" w:type="dxa"/>
            <w:shd w:val="clear" w:color="auto" w:fill="auto"/>
            <w:vAlign w:val="center"/>
          </w:tcPr>
          <w:p w:rsidR="00B979F0" w:rsidRPr="00B979F0" w:rsidRDefault="00B979F0" w:rsidP="00B979F0">
            <w:pPr>
              <w:spacing w:before="0"/>
              <w:ind w:left="-108" w:right="-108"/>
              <w:jc w:val="center"/>
              <w:rPr>
                <w:sz w:val="24"/>
              </w:rPr>
            </w:pPr>
            <w:r w:rsidRPr="00B979F0">
              <w:rPr>
                <w:sz w:val="24"/>
              </w:rPr>
              <w:t>Страна происхождения товара в соответствии с общероссийским классификатором стран мира</w:t>
            </w:r>
          </w:p>
        </w:tc>
      </w:tr>
      <w:tr w:rsidR="00B979F0" w:rsidRPr="00B979F0" w:rsidTr="00C45EE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t>1.</w:t>
            </w:r>
          </w:p>
        </w:tc>
        <w:tc>
          <w:tcPr>
            <w:tcW w:w="6413" w:type="dxa"/>
          </w:tcPr>
          <w:p w:rsidR="00B979F0" w:rsidRPr="00B979F0" w:rsidRDefault="00B979F0" w:rsidP="00B979F0">
            <w:pPr>
              <w:spacing w:before="0" w:after="200" w:line="276" w:lineRule="auto"/>
              <w:jc w:val="left"/>
              <w:rPr>
                <w:sz w:val="24"/>
              </w:rPr>
            </w:pPr>
          </w:p>
        </w:tc>
        <w:tc>
          <w:tcPr>
            <w:tcW w:w="3260" w:type="dxa"/>
            <w:shd w:val="clear" w:color="auto" w:fill="auto"/>
          </w:tcPr>
          <w:p w:rsidR="00B979F0" w:rsidRPr="00B979F0" w:rsidRDefault="00B979F0" w:rsidP="00B979F0">
            <w:pPr>
              <w:spacing w:before="0" w:after="200" w:line="276" w:lineRule="auto"/>
              <w:jc w:val="left"/>
              <w:rPr>
                <w:sz w:val="24"/>
              </w:rPr>
            </w:pPr>
          </w:p>
        </w:tc>
      </w:tr>
      <w:tr w:rsidR="00B979F0" w:rsidRPr="00B979F0" w:rsidTr="00C45EE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lastRenderedPageBreak/>
              <w:t>…</w:t>
            </w:r>
          </w:p>
        </w:tc>
        <w:tc>
          <w:tcPr>
            <w:tcW w:w="6413" w:type="dxa"/>
          </w:tcPr>
          <w:p w:rsidR="00B979F0" w:rsidRPr="00B979F0" w:rsidRDefault="00B979F0" w:rsidP="00B979F0">
            <w:pPr>
              <w:spacing w:before="0" w:after="200" w:line="276" w:lineRule="auto"/>
              <w:jc w:val="left"/>
              <w:rPr>
                <w:sz w:val="24"/>
              </w:rPr>
            </w:pPr>
          </w:p>
        </w:tc>
        <w:tc>
          <w:tcPr>
            <w:tcW w:w="3260" w:type="dxa"/>
            <w:shd w:val="clear" w:color="auto" w:fill="auto"/>
          </w:tcPr>
          <w:p w:rsidR="00B979F0" w:rsidRPr="00B979F0" w:rsidRDefault="00B979F0" w:rsidP="00B979F0">
            <w:pPr>
              <w:spacing w:before="0" w:after="200" w:line="276" w:lineRule="auto"/>
              <w:jc w:val="left"/>
              <w:rPr>
                <w:sz w:val="24"/>
              </w:rPr>
            </w:pPr>
          </w:p>
        </w:tc>
      </w:tr>
    </w:tbl>
    <w:p w:rsidR="00B979F0" w:rsidRPr="00B979F0" w:rsidRDefault="00B979F0" w:rsidP="00B979F0">
      <w:pPr>
        <w:spacing w:before="0"/>
        <w:ind w:firstLine="567"/>
        <w:rPr>
          <w:rFonts w:eastAsia="Times New Roman"/>
          <w:b/>
          <w:snapToGrid w:val="0"/>
          <w:sz w:val="24"/>
          <w:szCs w:val="28"/>
          <w:lang w:eastAsia="ru-RU"/>
        </w:rPr>
      </w:pPr>
    </w:p>
    <w:p w:rsidR="00B979F0" w:rsidRPr="00B979F0" w:rsidRDefault="00B979F0" w:rsidP="00B979F0">
      <w:pPr>
        <w:rPr>
          <w:i/>
          <w:highlight w:val="lightGray"/>
        </w:rPr>
      </w:pPr>
      <w:r w:rsidRPr="00B979F0">
        <w:t>[</w:t>
      </w:r>
      <w:r w:rsidRPr="00B979F0">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B979F0">
        <w:t>]</w:t>
      </w:r>
    </w:p>
    <w:p w:rsidR="00B979F0" w:rsidRPr="00B979F0" w:rsidRDefault="00B979F0" w:rsidP="00B979F0">
      <w:pPr>
        <w:spacing w:before="0"/>
        <w:ind w:firstLine="567"/>
        <w:rPr>
          <w:rFonts w:eastAsia="Times New Roman"/>
          <w:b/>
          <w:snapToGrid w:val="0"/>
          <w:sz w:val="24"/>
          <w:szCs w:val="28"/>
          <w:lang w:eastAsia="ru-RU"/>
        </w:rPr>
      </w:pPr>
    </w:p>
    <w:p w:rsidR="00F960FB" w:rsidRPr="00F960FB" w:rsidRDefault="00B979F0" w:rsidP="00B979F0">
      <w:pPr>
        <w:spacing w:after="120" w:line="276" w:lineRule="auto"/>
        <w:ind w:firstLine="709"/>
        <w:rPr>
          <w:snapToGrid w:val="0"/>
          <w:sz w:val="24"/>
          <w:szCs w:val="28"/>
        </w:rPr>
      </w:pPr>
      <w:r w:rsidRPr="00B979F0">
        <w:rPr>
          <w:snapToGrid w:val="0"/>
        </w:rPr>
        <w:t>Настоящим мы подтверждаем, что иные характеристики предлагаемой продукции полностью соответствуют требованиям Заказчик</w:t>
      </w:r>
      <w:r w:rsidRPr="00B979F0">
        <w:t>а, изложенным в документации о закупке.</w:t>
      </w:r>
    </w:p>
    <w:p w:rsidR="00F960FB" w:rsidRPr="00F960FB" w:rsidRDefault="00F960FB" w:rsidP="00F960FB">
      <w:pPr>
        <w:keepNext/>
        <w:tabs>
          <w:tab w:val="right" w:pos="10205"/>
        </w:tabs>
        <w:spacing w:before="240"/>
        <w:jc w:val="left"/>
      </w:pPr>
      <w:r w:rsidRPr="00F960FB">
        <w:t>_________________</w:t>
      </w:r>
      <w:r w:rsidRPr="00F960FB">
        <w:tab/>
        <w:t>___________________________</w:t>
      </w:r>
    </w:p>
    <w:p w:rsidR="00F960FB" w:rsidRPr="00F960FB" w:rsidRDefault="00F960FB" w:rsidP="00F960FB">
      <w:pPr>
        <w:keepNext/>
        <w:tabs>
          <w:tab w:val="right" w:pos="10205"/>
        </w:tabs>
        <w:spacing w:before="0"/>
        <w:rPr>
          <w:sz w:val="16"/>
          <w:szCs w:val="16"/>
        </w:rPr>
      </w:pPr>
      <w:r w:rsidRPr="00F960FB">
        <w:rPr>
          <w:sz w:val="16"/>
          <w:szCs w:val="16"/>
        </w:rPr>
        <w:t>(подпись уполномоченного лица)</w:t>
      </w:r>
      <w:r w:rsidRPr="00F960FB">
        <w:rPr>
          <w:sz w:val="16"/>
          <w:szCs w:val="16"/>
        </w:rPr>
        <w:tab/>
        <w:t>(фамилия, имя, отчество подписавшего, должность)</w:t>
      </w:r>
    </w:p>
    <w:p w:rsidR="00F960FB" w:rsidRPr="00F960FB" w:rsidRDefault="00F960FB" w:rsidP="00F960FB">
      <w:pPr>
        <w:tabs>
          <w:tab w:val="center" w:pos="1985"/>
        </w:tabs>
        <w:spacing w:before="0"/>
        <w:rPr>
          <w:sz w:val="20"/>
          <w:szCs w:val="20"/>
        </w:rPr>
      </w:pPr>
      <w:r w:rsidRPr="00F960FB">
        <w:rPr>
          <w:sz w:val="20"/>
          <w:szCs w:val="20"/>
        </w:rPr>
        <w:tab/>
        <w:t>М.П.</w:t>
      </w:r>
    </w:p>
    <w:p w:rsidR="00714027" w:rsidRDefault="00F960FB" w:rsidP="002A4F40">
      <w:pPr>
        <w:pBdr>
          <w:bottom w:val="single" w:sz="4" w:space="1" w:color="auto"/>
        </w:pBdr>
        <w:shd w:val="clear" w:color="auto" w:fill="D9D9D9" w:themeFill="background1" w:themeFillShade="D9"/>
        <w:spacing w:after="120"/>
        <w:jc w:val="center"/>
        <w:rPr>
          <w:b/>
        </w:rPr>
      </w:pPr>
      <w:r w:rsidRPr="00F960FB">
        <w:t>окончание формы</w:t>
      </w:r>
      <w:r w:rsidR="00714027">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42C5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Pr="002A4F40" w:rsidRDefault="00714027" w:rsidP="00714027">
      <w:pPr>
        <w:keepNext/>
        <w:tabs>
          <w:tab w:val="right" w:pos="10205"/>
        </w:tabs>
        <w:rPr>
          <w:sz w:val="24"/>
          <w:szCs w:val="24"/>
        </w:rPr>
      </w:pPr>
      <w:r w:rsidRPr="002A4F40">
        <w:rPr>
          <w:sz w:val="24"/>
          <w:szCs w:val="24"/>
        </w:rPr>
        <w:t>Наименование процедуры закупки:</w:t>
      </w:r>
      <w:r w:rsidRPr="002A4F40">
        <w:rPr>
          <w:sz w:val="24"/>
          <w:szCs w:val="24"/>
        </w:rPr>
        <w:tab/>
        <w:t>____________________________________________</w:t>
      </w:r>
    </w:p>
    <w:p w:rsidR="00714027" w:rsidRPr="002A4F40" w:rsidRDefault="00714027" w:rsidP="00714027">
      <w:pPr>
        <w:keepNext/>
        <w:tabs>
          <w:tab w:val="right" w:pos="10205"/>
        </w:tabs>
        <w:rPr>
          <w:sz w:val="24"/>
          <w:szCs w:val="24"/>
        </w:rPr>
      </w:pPr>
      <w:r w:rsidRPr="002A4F40">
        <w:rPr>
          <w:sz w:val="24"/>
          <w:szCs w:val="24"/>
        </w:rPr>
        <w:t>Номер извещения, присвоенный ЕИС (при наличии):</w:t>
      </w:r>
      <w:r w:rsidRPr="002A4F40">
        <w:rPr>
          <w:sz w:val="24"/>
          <w:szCs w:val="24"/>
        </w:rPr>
        <w:tab/>
        <w:t>____________</w:t>
      </w:r>
    </w:p>
    <w:p w:rsidR="00714027" w:rsidRPr="002A4F40" w:rsidRDefault="00714027" w:rsidP="00714027">
      <w:pPr>
        <w:keepNext/>
        <w:tabs>
          <w:tab w:val="right" w:pos="10205"/>
        </w:tabs>
        <w:rPr>
          <w:sz w:val="24"/>
          <w:szCs w:val="24"/>
        </w:rPr>
      </w:pPr>
      <w:r w:rsidRPr="002A4F40">
        <w:rPr>
          <w:sz w:val="24"/>
          <w:szCs w:val="24"/>
        </w:rPr>
        <w:t>Наименование участника:</w:t>
      </w:r>
      <w:r w:rsidRPr="002A4F40">
        <w:rPr>
          <w:sz w:val="24"/>
          <w:szCs w:val="24"/>
        </w:rPr>
        <w:tab/>
        <w:t>____________________________________________________</w:t>
      </w:r>
    </w:p>
    <w:p w:rsidR="00714027" w:rsidRPr="002A4F40" w:rsidRDefault="00714027" w:rsidP="00714027">
      <w:pPr>
        <w:keepNext/>
        <w:tabs>
          <w:tab w:val="right" w:pos="10205"/>
        </w:tabs>
        <w:spacing w:after="120"/>
        <w:rPr>
          <w:sz w:val="24"/>
          <w:szCs w:val="24"/>
        </w:rPr>
      </w:pPr>
      <w:r w:rsidRPr="002A4F40">
        <w:rPr>
          <w:sz w:val="24"/>
          <w:szCs w:val="24"/>
        </w:rPr>
        <w:t>Адрес места нахождения участника:</w:t>
      </w:r>
      <w:r w:rsidRPr="002A4F40">
        <w:rPr>
          <w:sz w:val="24"/>
          <w:szCs w:val="24"/>
        </w:rP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15375" w:type="dxa"/>
        <w:tblLook w:val="04A0" w:firstRow="1" w:lastRow="0" w:firstColumn="1" w:lastColumn="0" w:noHBand="0" w:noVBand="1"/>
      </w:tblPr>
      <w:tblGrid>
        <w:gridCol w:w="528"/>
        <w:gridCol w:w="3553"/>
        <w:gridCol w:w="5553"/>
        <w:gridCol w:w="2268"/>
        <w:gridCol w:w="1890"/>
        <w:gridCol w:w="1583"/>
      </w:tblGrid>
      <w:tr w:rsidR="006B04C7" w:rsidRPr="00D74984" w:rsidTr="00D74984">
        <w:tc>
          <w:tcPr>
            <w:tcW w:w="528" w:type="dxa"/>
            <w:vAlign w:val="center"/>
          </w:tcPr>
          <w:p w:rsidR="006B04C7" w:rsidRPr="00D74984" w:rsidRDefault="006B04C7" w:rsidP="00666EE3">
            <w:pPr>
              <w:keepNext/>
              <w:spacing w:before="0"/>
              <w:jc w:val="center"/>
              <w:rPr>
                <w:b/>
                <w:sz w:val="22"/>
                <w:szCs w:val="22"/>
              </w:rPr>
            </w:pPr>
            <w:r w:rsidRPr="00D74984">
              <w:rPr>
                <w:b/>
                <w:sz w:val="22"/>
                <w:szCs w:val="22"/>
              </w:rPr>
              <w:t>№</w:t>
            </w:r>
          </w:p>
        </w:tc>
        <w:tc>
          <w:tcPr>
            <w:tcW w:w="3553" w:type="dxa"/>
            <w:vAlign w:val="center"/>
          </w:tcPr>
          <w:p w:rsidR="006B04C7" w:rsidRPr="00D74984" w:rsidRDefault="006B04C7" w:rsidP="00666EE3">
            <w:pPr>
              <w:keepNext/>
              <w:spacing w:before="0"/>
              <w:jc w:val="center"/>
              <w:rPr>
                <w:b/>
                <w:sz w:val="22"/>
                <w:szCs w:val="22"/>
              </w:rPr>
            </w:pPr>
            <w:r w:rsidRPr="00D74984">
              <w:rPr>
                <w:b/>
                <w:sz w:val="22"/>
                <w:szCs w:val="22"/>
              </w:rPr>
              <w:t>Наименование</w:t>
            </w:r>
          </w:p>
        </w:tc>
        <w:tc>
          <w:tcPr>
            <w:tcW w:w="5553" w:type="dxa"/>
            <w:vAlign w:val="center"/>
          </w:tcPr>
          <w:p w:rsidR="006B04C7" w:rsidRPr="00D74984" w:rsidRDefault="006B04C7" w:rsidP="00666EE3">
            <w:pPr>
              <w:keepNext/>
              <w:spacing w:before="0"/>
              <w:jc w:val="center"/>
              <w:rPr>
                <w:b/>
                <w:sz w:val="22"/>
                <w:szCs w:val="22"/>
              </w:rPr>
            </w:pPr>
            <w:r w:rsidRPr="00D74984">
              <w:rPr>
                <w:b/>
                <w:sz w:val="22"/>
                <w:szCs w:val="22"/>
              </w:rPr>
              <w:t>Данные из Технического Задания</w:t>
            </w:r>
          </w:p>
        </w:tc>
        <w:tc>
          <w:tcPr>
            <w:tcW w:w="2268" w:type="dxa"/>
            <w:vAlign w:val="center"/>
          </w:tcPr>
          <w:p w:rsidR="006B04C7" w:rsidRPr="00D74984" w:rsidRDefault="006B04C7" w:rsidP="00666EE3">
            <w:pPr>
              <w:keepNext/>
              <w:spacing w:before="0"/>
              <w:jc w:val="center"/>
              <w:rPr>
                <w:b/>
                <w:sz w:val="22"/>
                <w:szCs w:val="22"/>
              </w:rPr>
            </w:pPr>
            <w:r w:rsidRPr="00D74984">
              <w:rPr>
                <w:b/>
                <w:sz w:val="22"/>
                <w:szCs w:val="22"/>
              </w:rPr>
              <w:t>Сведения заполняет поставщик (по паспорту оборудования)</w:t>
            </w:r>
          </w:p>
        </w:tc>
        <w:tc>
          <w:tcPr>
            <w:tcW w:w="1890" w:type="dxa"/>
            <w:vAlign w:val="center"/>
          </w:tcPr>
          <w:p w:rsidR="006B04C7" w:rsidRPr="00D74984" w:rsidRDefault="006B04C7" w:rsidP="00666EE3">
            <w:pPr>
              <w:keepNext/>
              <w:spacing w:before="0"/>
              <w:jc w:val="center"/>
              <w:rPr>
                <w:b/>
                <w:sz w:val="22"/>
                <w:szCs w:val="22"/>
              </w:rPr>
            </w:pPr>
            <w:r w:rsidRPr="00D74984">
              <w:rPr>
                <w:b/>
                <w:sz w:val="22"/>
                <w:szCs w:val="22"/>
              </w:rPr>
              <w:t>Соответствие/не соответствие</w:t>
            </w:r>
          </w:p>
        </w:tc>
        <w:tc>
          <w:tcPr>
            <w:tcW w:w="1583" w:type="dxa"/>
            <w:vAlign w:val="center"/>
          </w:tcPr>
          <w:p w:rsidR="006B04C7" w:rsidRPr="00D74984" w:rsidRDefault="006B04C7" w:rsidP="00666EE3">
            <w:pPr>
              <w:keepNext/>
              <w:spacing w:before="0"/>
              <w:jc w:val="center"/>
              <w:rPr>
                <w:b/>
                <w:sz w:val="22"/>
                <w:szCs w:val="22"/>
              </w:rPr>
            </w:pPr>
            <w:r w:rsidRPr="00D74984">
              <w:rPr>
                <w:b/>
                <w:sz w:val="22"/>
                <w:szCs w:val="22"/>
              </w:rPr>
              <w:t>Примечание</w:t>
            </w:r>
          </w:p>
        </w:tc>
      </w:tr>
      <w:tr w:rsidR="006B04C7" w:rsidRPr="00D74984" w:rsidTr="00D74984">
        <w:tc>
          <w:tcPr>
            <w:tcW w:w="528" w:type="dxa"/>
            <w:vAlign w:val="center"/>
          </w:tcPr>
          <w:p w:rsidR="006B04C7" w:rsidRPr="00D74984" w:rsidRDefault="006B04C7" w:rsidP="00666EE3">
            <w:pPr>
              <w:keepNext/>
              <w:spacing w:before="0"/>
              <w:jc w:val="center"/>
              <w:rPr>
                <w:sz w:val="22"/>
                <w:szCs w:val="22"/>
              </w:rPr>
            </w:pPr>
            <w:r w:rsidRPr="00D74984">
              <w:rPr>
                <w:sz w:val="22"/>
                <w:szCs w:val="22"/>
              </w:rPr>
              <w:t>1</w:t>
            </w:r>
          </w:p>
        </w:tc>
        <w:tc>
          <w:tcPr>
            <w:tcW w:w="3553" w:type="dxa"/>
            <w:vAlign w:val="center"/>
          </w:tcPr>
          <w:p w:rsidR="006B04C7" w:rsidRPr="00D74984" w:rsidRDefault="006B04C7" w:rsidP="00666EE3">
            <w:pPr>
              <w:keepNext/>
              <w:spacing w:before="0"/>
              <w:jc w:val="center"/>
              <w:rPr>
                <w:sz w:val="22"/>
                <w:szCs w:val="22"/>
              </w:rPr>
            </w:pPr>
            <w:r w:rsidRPr="00D74984">
              <w:rPr>
                <w:sz w:val="22"/>
                <w:szCs w:val="22"/>
              </w:rPr>
              <w:t>2</w:t>
            </w:r>
          </w:p>
        </w:tc>
        <w:tc>
          <w:tcPr>
            <w:tcW w:w="5553" w:type="dxa"/>
            <w:vAlign w:val="center"/>
          </w:tcPr>
          <w:p w:rsidR="006B04C7" w:rsidRPr="00D74984" w:rsidRDefault="006B04C7" w:rsidP="00666EE3">
            <w:pPr>
              <w:keepNext/>
              <w:spacing w:before="0"/>
              <w:jc w:val="center"/>
              <w:rPr>
                <w:sz w:val="22"/>
                <w:szCs w:val="22"/>
              </w:rPr>
            </w:pPr>
            <w:r w:rsidRPr="00D74984">
              <w:rPr>
                <w:sz w:val="22"/>
                <w:szCs w:val="22"/>
              </w:rPr>
              <w:t>3</w:t>
            </w:r>
          </w:p>
        </w:tc>
        <w:tc>
          <w:tcPr>
            <w:tcW w:w="2268" w:type="dxa"/>
            <w:vAlign w:val="center"/>
          </w:tcPr>
          <w:p w:rsidR="006B04C7" w:rsidRPr="00D74984" w:rsidRDefault="006B04C7" w:rsidP="00666EE3">
            <w:pPr>
              <w:keepNext/>
              <w:spacing w:before="0"/>
              <w:jc w:val="center"/>
              <w:rPr>
                <w:sz w:val="22"/>
                <w:szCs w:val="22"/>
              </w:rPr>
            </w:pPr>
            <w:r w:rsidRPr="00D74984">
              <w:rPr>
                <w:sz w:val="22"/>
                <w:szCs w:val="22"/>
              </w:rPr>
              <w:t>4</w:t>
            </w:r>
          </w:p>
        </w:tc>
        <w:tc>
          <w:tcPr>
            <w:tcW w:w="1890" w:type="dxa"/>
            <w:vAlign w:val="center"/>
          </w:tcPr>
          <w:p w:rsidR="006B04C7" w:rsidRPr="00D74984" w:rsidRDefault="006B04C7" w:rsidP="00666EE3">
            <w:pPr>
              <w:keepNext/>
              <w:spacing w:before="0"/>
              <w:jc w:val="center"/>
              <w:rPr>
                <w:sz w:val="22"/>
                <w:szCs w:val="22"/>
              </w:rPr>
            </w:pPr>
            <w:r w:rsidRPr="00D74984">
              <w:rPr>
                <w:sz w:val="22"/>
                <w:szCs w:val="22"/>
              </w:rPr>
              <w:t>5</w:t>
            </w:r>
          </w:p>
        </w:tc>
        <w:tc>
          <w:tcPr>
            <w:tcW w:w="1583" w:type="dxa"/>
            <w:vAlign w:val="center"/>
          </w:tcPr>
          <w:p w:rsidR="006B04C7" w:rsidRPr="00D74984" w:rsidRDefault="006B04C7" w:rsidP="00666EE3">
            <w:pPr>
              <w:keepNext/>
              <w:spacing w:before="0"/>
              <w:jc w:val="center"/>
              <w:rPr>
                <w:sz w:val="22"/>
                <w:szCs w:val="22"/>
              </w:rPr>
            </w:pPr>
            <w:r w:rsidRPr="00D74984">
              <w:rPr>
                <w:sz w:val="22"/>
                <w:szCs w:val="22"/>
              </w:rPr>
              <w:t>6</w:t>
            </w:r>
          </w:p>
        </w:tc>
      </w:tr>
      <w:tr w:rsidR="00D74984" w:rsidRPr="00D74984" w:rsidTr="00D74984">
        <w:tc>
          <w:tcPr>
            <w:tcW w:w="528" w:type="dxa"/>
            <w:tcBorders>
              <w:top w:val="single" w:sz="4" w:space="0" w:color="auto"/>
              <w:left w:val="single" w:sz="4" w:space="0" w:color="auto"/>
              <w:bottom w:val="single" w:sz="4" w:space="0" w:color="auto"/>
              <w:right w:val="single" w:sz="4" w:space="0" w:color="auto"/>
            </w:tcBorders>
            <w:shd w:val="clear" w:color="auto" w:fill="auto"/>
          </w:tcPr>
          <w:p w:rsidR="00D74984" w:rsidRPr="00D74984" w:rsidRDefault="00D74984" w:rsidP="00D74984">
            <w:pPr>
              <w:spacing w:before="0"/>
              <w:jc w:val="center"/>
              <w:rPr>
                <w:color w:val="000000"/>
                <w:sz w:val="22"/>
                <w:szCs w:val="22"/>
              </w:rPr>
            </w:pPr>
            <w:r w:rsidRPr="00D74984">
              <w:rPr>
                <w:color w:val="000000"/>
                <w:sz w:val="22"/>
                <w:szCs w:val="22"/>
              </w:rPr>
              <w:t>1</w:t>
            </w:r>
          </w:p>
        </w:tc>
        <w:tc>
          <w:tcPr>
            <w:tcW w:w="3553" w:type="dxa"/>
          </w:tcPr>
          <w:p w:rsidR="00D74984" w:rsidRPr="00D74984" w:rsidRDefault="00D74984" w:rsidP="00D74984">
            <w:pPr>
              <w:spacing w:before="0"/>
              <w:rPr>
                <w:sz w:val="20"/>
                <w:szCs w:val="20"/>
              </w:rPr>
            </w:pPr>
            <w:r w:rsidRPr="00D74984">
              <w:rPr>
                <w:sz w:val="20"/>
                <w:szCs w:val="20"/>
              </w:rPr>
              <w:t>Продление антивирусного программного обеспечения ESET NOD32 Antivirus Business Edition на 170 пользователей с дозакупкой лицензий на 200 пользователей</w:t>
            </w:r>
          </w:p>
        </w:tc>
        <w:tc>
          <w:tcPr>
            <w:tcW w:w="5553" w:type="dxa"/>
            <w:shd w:val="clear" w:color="auto" w:fill="auto"/>
          </w:tcPr>
          <w:p w:rsidR="00D74984" w:rsidRPr="00D74984" w:rsidRDefault="00D74984" w:rsidP="00D74984">
            <w:pPr>
              <w:spacing w:before="0"/>
              <w:rPr>
                <w:sz w:val="20"/>
                <w:szCs w:val="20"/>
              </w:rPr>
            </w:pPr>
            <w:r w:rsidRPr="00D74984">
              <w:rPr>
                <w:sz w:val="20"/>
                <w:szCs w:val="20"/>
              </w:rPr>
              <w:t>Количество пользователей – 170</w:t>
            </w:r>
          </w:p>
          <w:p w:rsidR="00D74984" w:rsidRPr="00D74984" w:rsidRDefault="00D74984" w:rsidP="00D74984">
            <w:pPr>
              <w:spacing w:before="0"/>
              <w:rPr>
                <w:sz w:val="20"/>
                <w:szCs w:val="20"/>
              </w:rPr>
            </w:pPr>
            <w:r w:rsidRPr="00D74984">
              <w:rPr>
                <w:sz w:val="20"/>
                <w:szCs w:val="20"/>
              </w:rPr>
              <w:t>Дополнительное количество лицензий - 200</w:t>
            </w:r>
          </w:p>
          <w:p w:rsidR="00D74984" w:rsidRPr="00D74984" w:rsidRDefault="00D74984" w:rsidP="00D74984">
            <w:pPr>
              <w:spacing w:before="0"/>
              <w:rPr>
                <w:sz w:val="20"/>
                <w:szCs w:val="20"/>
              </w:rPr>
            </w:pPr>
            <w:r w:rsidRPr="00D74984">
              <w:rPr>
                <w:sz w:val="20"/>
                <w:szCs w:val="20"/>
              </w:rPr>
              <w:t>Срок продления – не менее 1 года (начиная со срока окончания действующей лицензии – с 30.05.2021)</w:t>
            </w:r>
          </w:p>
          <w:p w:rsidR="00D74984" w:rsidRPr="00D74984" w:rsidRDefault="00D74984" w:rsidP="00D74984">
            <w:pPr>
              <w:spacing w:before="0"/>
              <w:rPr>
                <w:sz w:val="20"/>
                <w:szCs w:val="20"/>
              </w:rPr>
            </w:pPr>
            <w:r w:rsidRPr="00D74984">
              <w:rPr>
                <w:sz w:val="20"/>
                <w:szCs w:val="20"/>
              </w:rPr>
              <w:t>Комплект поставки – электронный архив. В электронном архиве: лицензионное соглашение с сертифицированными приложениями и электронные ключи.</w:t>
            </w:r>
          </w:p>
        </w:tc>
        <w:tc>
          <w:tcPr>
            <w:tcW w:w="2268" w:type="dxa"/>
            <w:vAlign w:val="center"/>
          </w:tcPr>
          <w:p w:rsidR="00D74984" w:rsidRPr="00D74984" w:rsidRDefault="00D74984" w:rsidP="00D74984">
            <w:pPr>
              <w:keepNext/>
              <w:spacing w:before="0"/>
              <w:jc w:val="left"/>
              <w:rPr>
                <w:sz w:val="22"/>
                <w:szCs w:val="22"/>
              </w:rPr>
            </w:pPr>
          </w:p>
        </w:tc>
        <w:tc>
          <w:tcPr>
            <w:tcW w:w="1890" w:type="dxa"/>
            <w:vAlign w:val="center"/>
          </w:tcPr>
          <w:p w:rsidR="00D74984" w:rsidRPr="00D74984" w:rsidRDefault="00D74984" w:rsidP="00D74984">
            <w:pPr>
              <w:keepNext/>
              <w:spacing w:before="0"/>
              <w:jc w:val="left"/>
              <w:rPr>
                <w:sz w:val="22"/>
                <w:szCs w:val="22"/>
              </w:rPr>
            </w:pPr>
          </w:p>
        </w:tc>
        <w:tc>
          <w:tcPr>
            <w:tcW w:w="1583" w:type="dxa"/>
            <w:vAlign w:val="center"/>
          </w:tcPr>
          <w:p w:rsidR="00D74984" w:rsidRPr="00D74984" w:rsidRDefault="00D74984" w:rsidP="00D74984">
            <w:pPr>
              <w:keepNext/>
              <w:spacing w:before="0"/>
              <w:jc w:val="left"/>
              <w:rPr>
                <w:sz w:val="22"/>
                <w:szCs w:val="22"/>
              </w:rPr>
            </w:pPr>
          </w:p>
        </w:tc>
      </w:tr>
      <w:tr w:rsidR="00D74984" w:rsidRPr="00D74984" w:rsidTr="00D74984">
        <w:tc>
          <w:tcPr>
            <w:tcW w:w="528" w:type="dxa"/>
            <w:tcBorders>
              <w:top w:val="single" w:sz="4" w:space="0" w:color="auto"/>
              <w:left w:val="single" w:sz="4" w:space="0" w:color="auto"/>
              <w:bottom w:val="single" w:sz="4" w:space="0" w:color="auto"/>
              <w:right w:val="single" w:sz="4" w:space="0" w:color="auto"/>
            </w:tcBorders>
            <w:shd w:val="clear" w:color="auto" w:fill="auto"/>
          </w:tcPr>
          <w:p w:rsidR="00D74984" w:rsidRPr="00D74984" w:rsidRDefault="00D74984" w:rsidP="00D74984">
            <w:pPr>
              <w:spacing w:before="0"/>
              <w:jc w:val="center"/>
              <w:rPr>
                <w:color w:val="000000"/>
                <w:sz w:val="22"/>
                <w:szCs w:val="22"/>
              </w:rPr>
            </w:pPr>
          </w:p>
        </w:tc>
        <w:tc>
          <w:tcPr>
            <w:tcW w:w="3553" w:type="dxa"/>
          </w:tcPr>
          <w:p w:rsidR="00D74984" w:rsidRPr="00D74984" w:rsidRDefault="00D74984" w:rsidP="00D74984">
            <w:pPr>
              <w:spacing w:before="0"/>
              <w:rPr>
                <w:sz w:val="20"/>
                <w:szCs w:val="20"/>
                <w:lang w:val="en-US"/>
              </w:rPr>
            </w:pPr>
            <w:r w:rsidRPr="00D74984">
              <w:rPr>
                <w:sz w:val="20"/>
                <w:szCs w:val="20"/>
                <w:lang w:val="en-US"/>
              </w:rPr>
              <w:t>ESET Mail Security для Microsoft Exchange Server на 210 почтовых ящиков</w:t>
            </w:r>
          </w:p>
        </w:tc>
        <w:tc>
          <w:tcPr>
            <w:tcW w:w="5553" w:type="dxa"/>
            <w:shd w:val="clear" w:color="auto" w:fill="auto"/>
          </w:tcPr>
          <w:p w:rsidR="00D74984" w:rsidRPr="00D74984" w:rsidRDefault="00D74984" w:rsidP="00D74984">
            <w:pPr>
              <w:spacing w:before="0"/>
              <w:rPr>
                <w:sz w:val="20"/>
                <w:szCs w:val="20"/>
              </w:rPr>
            </w:pPr>
            <w:r w:rsidRPr="00D74984">
              <w:rPr>
                <w:b/>
                <w:bCs/>
                <w:sz w:val="20"/>
                <w:szCs w:val="20"/>
              </w:rPr>
              <w:t>Антивирус и Антишпион</w:t>
            </w:r>
            <w:r w:rsidRPr="00D74984">
              <w:rPr>
                <w:sz w:val="20"/>
                <w:szCs w:val="20"/>
              </w:rPr>
              <w:br/>
              <w:t>Детектирование всех типов вредоносного программного обеспечения и проверка репутации приложений до их запуска на базе облачной технологии.</w:t>
            </w:r>
          </w:p>
          <w:p w:rsidR="00D74984" w:rsidRPr="00D74984" w:rsidRDefault="00D74984" w:rsidP="00D74984">
            <w:pPr>
              <w:spacing w:before="0"/>
              <w:rPr>
                <w:sz w:val="20"/>
                <w:szCs w:val="20"/>
              </w:rPr>
            </w:pPr>
            <w:r w:rsidRPr="00D74984">
              <w:rPr>
                <w:sz w:val="20"/>
                <w:szCs w:val="20"/>
              </w:rPr>
              <w:lastRenderedPageBreak/>
              <w:t> </w:t>
            </w:r>
            <w:r w:rsidRPr="00D74984">
              <w:rPr>
                <w:b/>
                <w:bCs/>
                <w:sz w:val="20"/>
                <w:szCs w:val="20"/>
              </w:rPr>
              <w:t>Антиспам и Антифишинг</w:t>
            </w:r>
            <w:r w:rsidRPr="00D74984">
              <w:rPr>
                <w:sz w:val="20"/>
                <w:szCs w:val="20"/>
              </w:rPr>
              <w:br/>
              <w:t>Автоматически блокируют спам и фишинговые рассылки с высоким процентом определения сразу после установки без дополнительных настроек.</w:t>
            </w:r>
          </w:p>
          <w:p w:rsidR="00D74984" w:rsidRPr="00D74984" w:rsidRDefault="00D74984" w:rsidP="00D74984">
            <w:pPr>
              <w:spacing w:before="0"/>
              <w:rPr>
                <w:sz w:val="20"/>
                <w:szCs w:val="20"/>
              </w:rPr>
            </w:pPr>
            <w:r w:rsidRPr="00D74984">
              <w:rPr>
                <w:sz w:val="20"/>
                <w:szCs w:val="20"/>
              </w:rPr>
              <w:t> </w:t>
            </w:r>
            <w:r w:rsidRPr="00D74984">
              <w:rPr>
                <w:b/>
                <w:bCs/>
                <w:sz w:val="20"/>
                <w:szCs w:val="20"/>
              </w:rPr>
              <w:t>Защита от программ-вымогателей</w:t>
            </w:r>
            <w:r w:rsidRPr="00D74984">
              <w:rPr>
                <w:sz w:val="20"/>
                <w:szCs w:val="20"/>
              </w:rPr>
              <w:br/>
              <w:t>Оценивает и контролирует все приложения и процессы</w:t>
            </w:r>
            <w:r w:rsidRPr="00D74984">
              <w:rPr>
                <w:sz w:val="20"/>
                <w:szCs w:val="20"/>
              </w:rPr>
              <w:br/>
              <w:t>с помощью поведенческого анализа и репутационной эвристики. В случае обнаружения подозрительных действий, будет предложено заблокировать данную активность.</w:t>
            </w:r>
          </w:p>
          <w:p w:rsidR="00D74984" w:rsidRPr="00D74984" w:rsidRDefault="00D74984" w:rsidP="00D74984">
            <w:pPr>
              <w:spacing w:before="0"/>
              <w:rPr>
                <w:sz w:val="20"/>
                <w:szCs w:val="20"/>
              </w:rPr>
            </w:pPr>
            <w:r w:rsidRPr="00D74984">
              <w:rPr>
                <w:sz w:val="20"/>
                <w:szCs w:val="20"/>
              </w:rPr>
              <w:t> </w:t>
            </w:r>
            <w:r w:rsidRPr="00D74984">
              <w:rPr>
                <w:b/>
                <w:bCs/>
                <w:sz w:val="20"/>
                <w:szCs w:val="20"/>
              </w:rPr>
              <w:t>Сканер UEFI</w:t>
            </w:r>
            <w:r w:rsidRPr="00D74984">
              <w:rPr>
                <w:sz w:val="20"/>
                <w:szCs w:val="20"/>
              </w:rPr>
              <w:br/>
              <w:t>Предназначен для контроля целостности прошивки</w:t>
            </w:r>
            <w:r w:rsidRPr="00D74984">
              <w:rPr>
                <w:sz w:val="20"/>
                <w:szCs w:val="20"/>
              </w:rPr>
              <w:br/>
              <w:t>и обнаружения попыток модификации. Обеспечивает безопасность среды предварительной загрузки, соответствующей спецификации UEFI.</w:t>
            </w:r>
          </w:p>
          <w:p w:rsidR="00D74984" w:rsidRPr="00D74984" w:rsidRDefault="00D74984" w:rsidP="00D74984">
            <w:pPr>
              <w:spacing w:before="0"/>
              <w:rPr>
                <w:sz w:val="20"/>
                <w:szCs w:val="20"/>
              </w:rPr>
            </w:pPr>
            <w:r w:rsidRPr="00D74984">
              <w:rPr>
                <w:b/>
                <w:bCs/>
                <w:sz w:val="20"/>
                <w:szCs w:val="20"/>
              </w:rPr>
              <w:t>Локальный карантин</w:t>
            </w:r>
            <w:r w:rsidRPr="00D74984">
              <w:rPr>
                <w:sz w:val="20"/>
                <w:szCs w:val="20"/>
              </w:rPr>
              <w:br/>
              <w:t>Позволяет системным администраторам просматривать подозрительные сообщения через веб-интерфейс</w:t>
            </w:r>
            <w:r w:rsidRPr="00D74984">
              <w:rPr>
                <w:sz w:val="20"/>
                <w:szCs w:val="20"/>
              </w:rPr>
              <w:br/>
              <w:t>и централизованно принимать меры.</w:t>
            </w:r>
          </w:p>
          <w:p w:rsidR="00D74984" w:rsidRPr="00D74984" w:rsidRDefault="00D74984" w:rsidP="00D74984">
            <w:pPr>
              <w:spacing w:before="0"/>
              <w:rPr>
                <w:sz w:val="20"/>
                <w:szCs w:val="20"/>
              </w:rPr>
            </w:pPr>
            <w:r w:rsidRPr="00D74984">
              <w:rPr>
                <w:b/>
                <w:bCs/>
                <w:sz w:val="20"/>
                <w:szCs w:val="20"/>
              </w:rPr>
              <w:t>Правила для сообщений</w:t>
            </w:r>
            <w:r w:rsidRPr="00D74984">
              <w:rPr>
                <w:sz w:val="20"/>
                <w:szCs w:val="20"/>
              </w:rPr>
              <w:br/>
              <w:t>Расширенные настройки фильтрации почтовых сообщений позволяют определить действия для каждого подозрительного письма.</w:t>
            </w:r>
          </w:p>
          <w:p w:rsidR="00D74984" w:rsidRPr="00D74984" w:rsidRDefault="00D74984" w:rsidP="00D74984">
            <w:pPr>
              <w:spacing w:before="0"/>
              <w:rPr>
                <w:sz w:val="20"/>
                <w:szCs w:val="20"/>
              </w:rPr>
            </w:pPr>
            <w:r w:rsidRPr="00D74984">
              <w:rPr>
                <w:b/>
                <w:bCs/>
                <w:sz w:val="20"/>
                <w:szCs w:val="20"/>
              </w:rPr>
              <w:t>Сканирование базы данных по требованию</w:t>
            </w:r>
            <w:r w:rsidRPr="00D74984">
              <w:rPr>
                <w:sz w:val="20"/>
                <w:szCs w:val="20"/>
              </w:rPr>
              <w:br/>
              <w:t>Помогает снизить потребление ресурсов системы, выбирая для сканирования только нужные базы данных или отдельные почтовые ящики.</w:t>
            </w:r>
          </w:p>
          <w:p w:rsidR="00D74984" w:rsidRPr="00D74984" w:rsidRDefault="00D74984" w:rsidP="00D74984">
            <w:pPr>
              <w:spacing w:before="0"/>
              <w:rPr>
                <w:sz w:val="20"/>
                <w:szCs w:val="20"/>
              </w:rPr>
            </w:pPr>
            <w:r w:rsidRPr="00D74984">
              <w:rPr>
                <w:b/>
                <w:bCs/>
                <w:sz w:val="20"/>
                <w:szCs w:val="20"/>
              </w:rPr>
              <w:t>Контроль устройств</w:t>
            </w:r>
            <w:r w:rsidRPr="00D74984">
              <w:rPr>
                <w:sz w:val="20"/>
                <w:szCs w:val="20"/>
              </w:rPr>
              <w:br/>
              <w:t>Автоматическое сканирование подключаемых внешних устройств и настройка правил работы со съемными носителями информации для каждого пользователя.</w:t>
            </w:r>
          </w:p>
          <w:p w:rsidR="00D74984" w:rsidRPr="00D74984" w:rsidRDefault="00D74984" w:rsidP="00D74984">
            <w:pPr>
              <w:spacing w:before="0"/>
              <w:rPr>
                <w:sz w:val="20"/>
                <w:szCs w:val="20"/>
              </w:rPr>
            </w:pPr>
            <w:r w:rsidRPr="00D74984">
              <w:rPr>
                <w:b/>
                <w:bCs/>
                <w:sz w:val="20"/>
                <w:szCs w:val="20"/>
              </w:rPr>
              <w:t>Независимость от снимков системы</w:t>
            </w:r>
            <w:r w:rsidRPr="00D74984">
              <w:rPr>
                <w:sz w:val="20"/>
                <w:szCs w:val="20"/>
              </w:rPr>
              <w:br/>
              <w:t>Возможность указать альтернативные пути для хранения файлов обновления при начальной установке, что позволяет восстановить актуальную версию продукта при откате системы без повторного скачивания большого объема данных.</w:t>
            </w:r>
          </w:p>
          <w:p w:rsidR="00D74984" w:rsidRPr="00D74984" w:rsidRDefault="00D74984" w:rsidP="00D74984">
            <w:pPr>
              <w:spacing w:before="0"/>
              <w:rPr>
                <w:sz w:val="20"/>
                <w:szCs w:val="20"/>
              </w:rPr>
            </w:pPr>
            <w:r w:rsidRPr="00D74984">
              <w:rPr>
                <w:sz w:val="20"/>
                <w:szCs w:val="20"/>
              </w:rPr>
              <w:t> </w:t>
            </w:r>
          </w:p>
          <w:p w:rsidR="00D74984" w:rsidRPr="00D74984" w:rsidRDefault="00D74984" w:rsidP="00D74984">
            <w:pPr>
              <w:spacing w:before="0"/>
              <w:rPr>
                <w:sz w:val="20"/>
                <w:szCs w:val="20"/>
              </w:rPr>
            </w:pPr>
            <w:r w:rsidRPr="00D74984">
              <w:rPr>
                <w:b/>
                <w:bCs/>
                <w:sz w:val="20"/>
                <w:szCs w:val="20"/>
              </w:rPr>
              <w:t>Поддержка</w:t>
            </w:r>
            <w:r w:rsidRPr="00D74984">
              <w:rPr>
                <w:b/>
                <w:bCs/>
                <w:sz w:val="20"/>
                <w:szCs w:val="20"/>
                <w:lang w:val="en-US"/>
              </w:rPr>
              <w:t xml:space="preserve"> Windows Management Instrumentation</w:t>
            </w:r>
            <w:r w:rsidRPr="00D74984">
              <w:rPr>
                <w:sz w:val="20"/>
                <w:szCs w:val="20"/>
                <w:lang w:val="en-US"/>
              </w:rPr>
              <w:br/>
            </w:r>
            <w:r w:rsidRPr="00D74984">
              <w:rPr>
                <w:sz w:val="20"/>
                <w:szCs w:val="20"/>
              </w:rPr>
              <w:t>Управление</w:t>
            </w:r>
            <w:r w:rsidRPr="00D74984">
              <w:rPr>
                <w:sz w:val="20"/>
                <w:szCs w:val="20"/>
                <w:lang w:val="en-US"/>
              </w:rPr>
              <w:t xml:space="preserve"> ESET Mail Security </w:t>
            </w:r>
            <w:r w:rsidRPr="00D74984">
              <w:rPr>
                <w:sz w:val="20"/>
                <w:szCs w:val="20"/>
              </w:rPr>
              <w:t>для</w:t>
            </w:r>
            <w:r w:rsidRPr="00D74984">
              <w:rPr>
                <w:sz w:val="20"/>
                <w:szCs w:val="20"/>
                <w:lang w:val="en-US"/>
              </w:rPr>
              <w:t xml:space="preserve"> Microsoft Exchange Server </w:t>
            </w:r>
            <w:r w:rsidRPr="00D74984">
              <w:rPr>
                <w:sz w:val="20"/>
                <w:szCs w:val="20"/>
              </w:rPr>
              <w:t>с</w:t>
            </w:r>
            <w:r w:rsidRPr="00D74984">
              <w:rPr>
                <w:sz w:val="20"/>
                <w:szCs w:val="20"/>
                <w:lang w:val="en-US"/>
              </w:rPr>
              <w:t xml:space="preserve"> </w:t>
            </w:r>
            <w:r w:rsidRPr="00D74984">
              <w:rPr>
                <w:sz w:val="20"/>
                <w:szCs w:val="20"/>
              </w:rPr>
              <w:t>помощью</w:t>
            </w:r>
            <w:r w:rsidRPr="00D74984">
              <w:rPr>
                <w:sz w:val="20"/>
                <w:szCs w:val="20"/>
                <w:lang w:val="en-US"/>
              </w:rPr>
              <w:t xml:space="preserve"> </w:t>
            </w:r>
            <w:r w:rsidRPr="00D74984">
              <w:rPr>
                <w:sz w:val="20"/>
                <w:szCs w:val="20"/>
              </w:rPr>
              <w:t xml:space="preserve">WMI позволяет интегрировать продукт в другие </w:t>
            </w:r>
            <w:r w:rsidRPr="00D74984">
              <w:rPr>
                <w:sz w:val="20"/>
                <w:szCs w:val="20"/>
              </w:rPr>
              <w:lastRenderedPageBreak/>
              <w:t>решения для мониторинга сети и продукты класса SIEM (Security Information and Event Management).</w:t>
            </w:r>
          </w:p>
          <w:p w:rsidR="00D74984" w:rsidRPr="00D74984" w:rsidRDefault="00D74984" w:rsidP="00D74984">
            <w:pPr>
              <w:spacing w:before="0"/>
              <w:rPr>
                <w:sz w:val="20"/>
                <w:szCs w:val="20"/>
              </w:rPr>
            </w:pPr>
            <w:r w:rsidRPr="00D74984">
              <w:rPr>
                <w:b/>
                <w:bCs/>
                <w:sz w:val="20"/>
                <w:szCs w:val="20"/>
              </w:rPr>
              <w:t>Оптимизация для виртуальной среды</w:t>
            </w:r>
            <w:r w:rsidRPr="00D74984">
              <w:rPr>
                <w:sz w:val="20"/>
                <w:szCs w:val="20"/>
              </w:rPr>
              <w:br/>
              <w:t>Функция ESET Shared Local Cache позволяет значительно ускорить сканирование виртуальных машин за счет хранения информации о ранее просканированных общих файлах.</w:t>
            </w:r>
          </w:p>
          <w:p w:rsidR="00D74984" w:rsidRPr="00D74984" w:rsidRDefault="00D74984" w:rsidP="00D74984">
            <w:pPr>
              <w:spacing w:before="0"/>
              <w:rPr>
                <w:sz w:val="20"/>
                <w:szCs w:val="20"/>
              </w:rPr>
            </w:pPr>
            <w:r w:rsidRPr="00D74984">
              <w:rPr>
                <w:b/>
                <w:bCs/>
                <w:sz w:val="20"/>
                <w:szCs w:val="20"/>
              </w:rPr>
              <w:t>Поддержка кластерной структуры</w:t>
            </w:r>
            <w:r w:rsidRPr="00D74984">
              <w:rPr>
                <w:sz w:val="20"/>
                <w:szCs w:val="20"/>
              </w:rPr>
              <w:br/>
              <w:t>Возможность соединить несколько продуктов, установленных в кластере, в единое решение для централизованного управления.</w:t>
            </w:r>
          </w:p>
          <w:p w:rsidR="00D74984" w:rsidRPr="00D74984" w:rsidRDefault="00D74984" w:rsidP="00D74984">
            <w:pPr>
              <w:spacing w:before="0"/>
              <w:rPr>
                <w:sz w:val="20"/>
                <w:szCs w:val="20"/>
              </w:rPr>
            </w:pPr>
            <w:r w:rsidRPr="00D74984">
              <w:rPr>
                <w:b/>
                <w:bCs/>
                <w:sz w:val="20"/>
                <w:szCs w:val="20"/>
              </w:rPr>
              <w:t>Отправка уведомлений о карантине почты</w:t>
            </w:r>
            <w:r w:rsidRPr="00D74984">
              <w:rPr>
                <w:sz w:val="20"/>
                <w:szCs w:val="20"/>
              </w:rPr>
              <w:br/>
              <w:t>В уведомлениях содержатся ссылки, с помощью которых администраторможет напрямую удалить или восстановить (доставить) ложно классифицированное сообщение.</w:t>
            </w:r>
          </w:p>
          <w:p w:rsidR="00D74984" w:rsidRPr="00D74984" w:rsidRDefault="00D74984" w:rsidP="00D74984">
            <w:pPr>
              <w:spacing w:before="0"/>
              <w:rPr>
                <w:sz w:val="20"/>
                <w:szCs w:val="20"/>
              </w:rPr>
            </w:pPr>
            <w:r w:rsidRPr="00D74984">
              <w:rPr>
                <w:b/>
                <w:bCs/>
                <w:sz w:val="20"/>
                <w:szCs w:val="20"/>
              </w:rPr>
              <w:t>Минимальные системные требования</w:t>
            </w:r>
            <w:r w:rsidRPr="00D74984">
              <w:rPr>
                <w:sz w:val="20"/>
                <w:szCs w:val="20"/>
              </w:rPr>
              <w:br/>
              <w:t>ESET Mail Security для Microsoft Exchange Server обеспечивает эффективную защиту почтовых серверов, сохраняя при этом больше системных ресурсов для выполнения других задач.</w:t>
            </w:r>
          </w:p>
          <w:p w:rsidR="00D74984" w:rsidRPr="00D74984" w:rsidRDefault="00D74984" w:rsidP="00D74984">
            <w:pPr>
              <w:spacing w:before="0"/>
              <w:rPr>
                <w:sz w:val="20"/>
                <w:szCs w:val="20"/>
              </w:rPr>
            </w:pPr>
            <w:r w:rsidRPr="00D74984">
              <w:rPr>
                <w:b/>
                <w:bCs/>
                <w:sz w:val="20"/>
                <w:szCs w:val="20"/>
              </w:rPr>
              <w:t>Модульная установка</w:t>
            </w:r>
            <w:r w:rsidRPr="00D74984">
              <w:rPr>
                <w:sz w:val="20"/>
                <w:szCs w:val="20"/>
              </w:rPr>
              <w:br/>
              <w:t>При установке продукта можно выбрать необходимые компоненты.</w:t>
            </w:r>
          </w:p>
          <w:p w:rsidR="00D74984" w:rsidRPr="00D74984" w:rsidRDefault="00D74984" w:rsidP="00D74984">
            <w:pPr>
              <w:spacing w:before="0"/>
              <w:rPr>
                <w:sz w:val="20"/>
                <w:szCs w:val="20"/>
              </w:rPr>
            </w:pPr>
            <w:r w:rsidRPr="00D74984">
              <w:rPr>
                <w:b/>
                <w:bCs/>
                <w:sz w:val="20"/>
                <w:szCs w:val="20"/>
              </w:rPr>
              <w:t>Исключения для процессов</w:t>
            </w:r>
            <w:r w:rsidRPr="00D74984">
              <w:rPr>
                <w:sz w:val="20"/>
                <w:szCs w:val="20"/>
              </w:rPr>
              <w:br/>
              <w:t>Возможность задать исключение для отдельных процессов, что повышает совместимость с программным обеспечением сторонних производителей.</w:t>
            </w:r>
          </w:p>
          <w:p w:rsidR="00D74984" w:rsidRPr="00D74984" w:rsidRDefault="00D74984" w:rsidP="00D74984">
            <w:pPr>
              <w:spacing w:before="0"/>
              <w:rPr>
                <w:sz w:val="20"/>
                <w:szCs w:val="20"/>
              </w:rPr>
            </w:pPr>
            <w:r w:rsidRPr="00D74984">
              <w:rPr>
                <w:b/>
                <w:bCs/>
                <w:sz w:val="20"/>
                <w:szCs w:val="20"/>
              </w:rPr>
              <w:t>Централизованное управление</w:t>
            </w:r>
            <w:r w:rsidRPr="00D74984">
              <w:rPr>
                <w:sz w:val="20"/>
                <w:szCs w:val="20"/>
              </w:rPr>
              <w:br/>
              <w:t>Продуктом ESET Mail Security для Microsoft Exchange Server можно удаленно управлять с помощью </w:t>
            </w:r>
            <w:hyperlink r:id="rId11" w:history="1">
              <w:r w:rsidRPr="00D74984">
                <w:rPr>
                  <w:rStyle w:val="af8"/>
                  <w:sz w:val="20"/>
                  <w:szCs w:val="20"/>
                </w:rPr>
                <w:t>ESET Security Management Center</w:t>
              </w:r>
            </w:hyperlink>
          </w:p>
        </w:tc>
        <w:tc>
          <w:tcPr>
            <w:tcW w:w="2268" w:type="dxa"/>
            <w:vAlign w:val="center"/>
          </w:tcPr>
          <w:p w:rsidR="00D74984" w:rsidRPr="00D74984" w:rsidRDefault="00D74984" w:rsidP="00D74984">
            <w:pPr>
              <w:keepNext/>
              <w:spacing w:before="0"/>
              <w:jc w:val="left"/>
              <w:rPr>
                <w:sz w:val="22"/>
                <w:szCs w:val="22"/>
                <w:lang w:val="en-US"/>
              </w:rPr>
            </w:pPr>
          </w:p>
        </w:tc>
        <w:tc>
          <w:tcPr>
            <w:tcW w:w="1890" w:type="dxa"/>
            <w:vAlign w:val="center"/>
          </w:tcPr>
          <w:p w:rsidR="00D74984" w:rsidRPr="00D74984" w:rsidRDefault="00D74984" w:rsidP="00D74984">
            <w:pPr>
              <w:keepNext/>
              <w:spacing w:before="0"/>
              <w:jc w:val="left"/>
              <w:rPr>
                <w:sz w:val="22"/>
                <w:szCs w:val="22"/>
                <w:lang w:val="en-US"/>
              </w:rPr>
            </w:pPr>
          </w:p>
        </w:tc>
        <w:tc>
          <w:tcPr>
            <w:tcW w:w="1583" w:type="dxa"/>
            <w:vAlign w:val="center"/>
          </w:tcPr>
          <w:p w:rsidR="00D74984" w:rsidRPr="00D74984" w:rsidRDefault="00D74984" w:rsidP="00D74984">
            <w:pPr>
              <w:keepNext/>
              <w:spacing w:before="0"/>
              <w:jc w:val="left"/>
              <w:rPr>
                <w:sz w:val="22"/>
                <w:szCs w:val="22"/>
                <w:lang w:val="en-US"/>
              </w:rPr>
            </w:pPr>
          </w:p>
        </w:tc>
      </w:tr>
      <w:tr w:rsidR="00D74984" w:rsidRPr="00D74984" w:rsidTr="00D74984">
        <w:tc>
          <w:tcPr>
            <w:tcW w:w="528" w:type="dxa"/>
            <w:tcBorders>
              <w:top w:val="single" w:sz="4" w:space="0" w:color="auto"/>
              <w:left w:val="single" w:sz="4" w:space="0" w:color="auto"/>
              <w:bottom w:val="single" w:sz="4" w:space="0" w:color="auto"/>
              <w:right w:val="single" w:sz="4" w:space="0" w:color="auto"/>
            </w:tcBorders>
            <w:shd w:val="clear" w:color="auto" w:fill="auto"/>
          </w:tcPr>
          <w:p w:rsidR="00D74984" w:rsidRPr="00D74984" w:rsidRDefault="00D74984" w:rsidP="00D74984">
            <w:pPr>
              <w:spacing w:before="0"/>
              <w:jc w:val="center"/>
              <w:rPr>
                <w:color w:val="000000"/>
                <w:sz w:val="22"/>
                <w:szCs w:val="22"/>
                <w:lang w:val="en-US"/>
              </w:rPr>
            </w:pPr>
          </w:p>
        </w:tc>
        <w:tc>
          <w:tcPr>
            <w:tcW w:w="3553" w:type="dxa"/>
          </w:tcPr>
          <w:p w:rsidR="00D74984" w:rsidRPr="00D74984" w:rsidRDefault="00D74984" w:rsidP="00D74984">
            <w:pPr>
              <w:spacing w:before="0"/>
              <w:rPr>
                <w:sz w:val="20"/>
                <w:szCs w:val="20"/>
                <w:lang w:val="en-US"/>
              </w:rPr>
            </w:pPr>
            <w:r w:rsidRPr="00D74984">
              <w:rPr>
                <w:sz w:val="20"/>
                <w:szCs w:val="20"/>
                <w:lang w:val="en-US"/>
              </w:rPr>
              <w:t>Microsoft Office Standard 2019 Russian OLV NL Each AcademicEdition Additional Product</w:t>
            </w:r>
          </w:p>
        </w:tc>
        <w:tc>
          <w:tcPr>
            <w:tcW w:w="5553" w:type="dxa"/>
            <w:shd w:val="clear" w:color="auto" w:fill="auto"/>
          </w:tcPr>
          <w:p w:rsidR="00D74984" w:rsidRPr="00D74984" w:rsidRDefault="00D74984" w:rsidP="00D74984">
            <w:pPr>
              <w:spacing w:before="0"/>
              <w:rPr>
                <w:sz w:val="20"/>
                <w:szCs w:val="20"/>
              </w:rPr>
            </w:pPr>
            <w:r w:rsidRPr="00D74984">
              <w:rPr>
                <w:sz w:val="20"/>
                <w:szCs w:val="20"/>
              </w:rPr>
              <w:t>Стандартный офисный пакет приложений.</w:t>
            </w:r>
          </w:p>
          <w:p w:rsidR="00D74984" w:rsidRPr="00D74984" w:rsidRDefault="00D74984" w:rsidP="00D74984">
            <w:pPr>
              <w:spacing w:before="0"/>
              <w:rPr>
                <w:sz w:val="20"/>
                <w:szCs w:val="20"/>
              </w:rPr>
            </w:pPr>
            <w:r w:rsidRPr="00D74984">
              <w:rPr>
                <w:sz w:val="20"/>
                <w:szCs w:val="20"/>
              </w:rPr>
              <w:t>Состав пакета:</w:t>
            </w:r>
          </w:p>
          <w:p w:rsidR="00D74984" w:rsidRPr="00D74984" w:rsidRDefault="00D74984" w:rsidP="00D74984">
            <w:pPr>
              <w:spacing w:before="0"/>
              <w:rPr>
                <w:sz w:val="20"/>
                <w:szCs w:val="20"/>
                <w:lang w:val="en-US"/>
              </w:rPr>
            </w:pPr>
            <w:r w:rsidRPr="00D74984">
              <w:rPr>
                <w:sz w:val="20"/>
                <w:szCs w:val="20"/>
                <w:lang w:val="en-US"/>
              </w:rPr>
              <w:t>- Microsoft Office Word;</w:t>
            </w:r>
          </w:p>
          <w:p w:rsidR="00D74984" w:rsidRPr="00D74984" w:rsidRDefault="00D74984" w:rsidP="00D74984">
            <w:pPr>
              <w:spacing w:before="0"/>
              <w:rPr>
                <w:sz w:val="20"/>
                <w:szCs w:val="20"/>
                <w:lang w:val="en-US"/>
              </w:rPr>
            </w:pPr>
            <w:r w:rsidRPr="00D74984">
              <w:rPr>
                <w:sz w:val="20"/>
                <w:szCs w:val="20"/>
                <w:lang w:val="en-US"/>
              </w:rPr>
              <w:t>- Microsoft Office Excel;</w:t>
            </w:r>
          </w:p>
          <w:p w:rsidR="00D74984" w:rsidRPr="00D74984" w:rsidRDefault="00D74984" w:rsidP="00D74984">
            <w:pPr>
              <w:spacing w:before="0"/>
              <w:rPr>
                <w:sz w:val="20"/>
                <w:szCs w:val="20"/>
                <w:lang w:val="en-US"/>
              </w:rPr>
            </w:pPr>
            <w:r w:rsidRPr="00D74984">
              <w:rPr>
                <w:sz w:val="20"/>
                <w:szCs w:val="20"/>
                <w:lang w:val="en-US"/>
              </w:rPr>
              <w:t>- Microsoft Office PowerPoint;</w:t>
            </w:r>
          </w:p>
          <w:p w:rsidR="00D74984" w:rsidRPr="00D74984" w:rsidRDefault="00D74984" w:rsidP="00D74984">
            <w:pPr>
              <w:spacing w:before="0"/>
              <w:rPr>
                <w:sz w:val="20"/>
                <w:szCs w:val="20"/>
                <w:lang w:val="en-US"/>
              </w:rPr>
            </w:pPr>
            <w:r w:rsidRPr="00D74984">
              <w:rPr>
                <w:sz w:val="20"/>
                <w:szCs w:val="20"/>
                <w:lang w:val="en-US"/>
              </w:rPr>
              <w:t>- Microsoft Office OneNote;</w:t>
            </w:r>
          </w:p>
          <w:p w:rsidR="00D74984" w:rsidRPr="00D74984" w:rsidRDefault="00D74984" w:rsidP="00D74984">
            <w:pPr>
              <w:spacing w:before="0"/>
              <w:rPr>
                <w:sz w:val="20"/>
                <w:szCs w:val="20"/>
                <w:lang w:val="en-US"/>
              </w:rPr>
            </w:pPr>
            <w:r w:rsidRPr="00D74984">
              <w:rPr>
                <w:sz w:val="20"/>
                <w:szCs w:val="20"/>
                <w:lang w:val="en-US"/>
              </w:rPr>
              <w:t>- Microsoft Office Publisher;</w:t>
            </w:r>
          </w:p>
          <w:p w:rsidR="00D74984" w:rsidRPr="00D74984" w:rsidRDefault="00D74984" w:rsidP="00D74984">
            <w:pPr>
              <w:spacing w:before="0"/>
              <w:rPr>
                <w:sz w:val="20"/>
                <w:szCs w:val="20"/>
                <w:lang w:val="en-US"/>
              </w:rPr>
            </w:pPr>
            <w:r w:rsidRPr="00D74984">
              <w:rPr>
                <w:sz w:val="20"/>
                <w:szCs w:val="20"/>
                <w:lang w:val="en-US"/>
              </w:rPr>
              <w:t>- Microsoft Outlook;</w:t>
            </w:r>
          </w:p>
          <w:p w:rsidR="00D74984" w:rsidRPr="00D74984" w:rsidRDefault="00D74984" w:rsidP="00D74984">
            <w:pPr>
              <w:spacing w:before="0"/>
              <w:rPr>
                <w:sz w:val="20"/>
                <w:szCs w:val="20"/>
              </w:rPr>
            </w:pPr>
            <w:r w:rsidRPr="00D74984">
              <w:rPr>
                <w:sz w:val="20"/>
                <w:szCs w:val="20"/>
              </w:rPr>
              <w:t xml:space="preserve">- Общие средства </w:t>
            </w:r>
            <w:r w:rsidRPr="00D74984">
              <w:rPr>
                <w:sz w:val="20"/>
                <w:szCs w:val="20"/>
                <w:lang w:val="en-US"/>
              </w:rPr>
              <w:t>Office</w:t>
            </w:r>
            <w:r w:rsidRPr="00D74984">
              <w:rPr>
                <w:sz w:val="20"/>
                <w:szCs w:val="20"/>
              </w:rPr>
              <w:t>.</w:t>
            </w:r>
          </w:p>
          <w:p w:rsidR="00D74984" w:rsidRPr="00D74984" w:rsidRDefault="00D74984" w:rsidP="00D74984">
            <w:pPr>
              <w:spacing w:before="0"/>
              <w:rPr>
                <w:sz w:val="20"/>
                <w:szCs w:val="20"/>
              </w:rPr>
            </w:pPr>
            <w:r w:rsidRPr="00D74984">
              <w:rPr>
                <w:sz w:val="20"/>
                <w:szCs w:val="20"/>
              </w:rPr>
              <w:t>Тип организации: академическая</w:t>
            </w:r>
          </w:p>
          <w:p w:rsidR="00D74984" w:rsidRPr="00D74984" w:rsidRDefault="00D74984" w:rsidP="00D74984">
            <w:pPr>
              <w:spacing w:before="0"/>
              <w:rPr>
                <w:sz w:val="20"/>
                <w:szCs w:val="20"/>
              </w:rPr>
            </w:pPr>
            <w:bookmarkStart w:id="291" w:name="_Hlk35335341"/>
            <w:r w:rsidRPr="00D74984">
              <w:rPr>
                <w:sz w:val="20"/>
                <w:szCs w:val="20"/>
              </w:rPr>
              <w:t>Срок использования: Бессрочное</w:t>
            </w:r>
            <w:bookmarkEnd w:id="291"/>
          </w:p>
          <w:p w:rsidR="00D74984" w:rsidRPr="00D74984" w:rsidRDefault="00D74984" w:rsidP="00D74984">
            <w:pPr>
              <w:spacing w:before="0"/>
              <w:rPr>
                <w:sz w:val="20"/>
                <w:szCs w:val="20"/>
              </w:rPr>
            </w:pPr>
            <w:r w:rsidRPr="00D74984">
              <w:rPr>
                <w:sz w:val="20"/>
                <w:szCs w:val="20"/>
              </w:rPr>
              <w:lastRenderedPageBreak/>
              <w:t xml:space="preserve">Совместимость с ОС: </w:t>
            </w:r>
            <w:r w:rsidRPr="00D74984">
              <w:rPr>
                <w:sz w:val="20"/>
                <w:szCs w:val="20"/>
                <w:lang w:val="en-US"/>
              </w:rPr>
              <w:t>Windows</w:t>
            </w:r>
            <w:r w:rsidRPr="00D74984">
              <w:rPr>
                <w:sz w:val="20"/>
                <w:szCs w:val="20"/>
              </w:rPr>
              <w:t xml:space="preserve"> (64- и 32- разрядная)</w:t>
            </w:r>
          </w:p>
          <w:p w:rsidR="00D74984" w:rsidRPr="00D74984" w:rsidRDefault="00D74984" w:rsidP="00D74984">
            <w:pPr>
              <w:spacing w:before="0"/>
              <w:rPr>
                <w:sz w:val="20"/>
                <w:szCs w:val="20"/>
              </w:rPr>
            </w:pPr>
            <w:r w:rsidRPr="00D74984">
              <w:rPr>
                <w:sz w:val="20"/>
                <w:szCs w:val="20"/>
              </w:rPr>
              <w:t>Язык: Русский</w:t>
            </w:r>
          </w:p>
          <w:p w:rsidR="00D74984" w:rsidRPr="00D74984" w:rsidRDefault="00D74984" w:rsidP="00D74984">
            <w:pPr>
              <w:spacing w:before="0"/>
              <w:rPr>
                <w:sz w:val="20"/>
                <w:szCs w:val="20"/>
              </w:rPr>
            </w:pPr>
            <w:bookmarkStart w:id="292" w:name="_Hlk35335148"/>
            <w:r w:rsidRPr="00D74984">
              <w:rPr>
                <w:sz w:val="20"/>
                <w:szCs w:val="20"/>
              </w:rPr>
              <w:t>Способ доставки: Электронная</w:t>
            </w:r>
            <w:bookmarkEnd w:id="292"/>
          </w:p>
        </w:tc>
        <w:tc>
          <w:tcPr>
            <w:tcW w:w="2268" w:type="dxa"/>
            <w:vAlign w:val="center"/>
          </w:tcPr>
          <w:p w:rsidR="00D74984" w:rsidRPr="00D74984" w:rsidRDefault="00D74984" w:rsidP="00D74984">
            <w:pPr>
              <w:keepNext/>
              <w:spacing w:before="0"/>
              <w:jc w:val="left"/>
              <w:rPr>
                <w:sz w:val="22"/>
                <w:szCs w:val="22"/>
              </w:rPr>
            </w:pPr>
          </w:p>
        </w:tc>
        <w:tc>
          <w:tcPr>
            <w:tcW w:w="1890" w:type="dxa"/>
            <w:vAlign w:val="center"/>
          </w:tcPr>
          <w:p w:rsidR="00D74984" w:rsidRPr="00D74984" w:rsidRDefault="00D74984" w:rsidP="00D74984">
            <w:pPr>
              <w:keepNext/>
              <w:spacing w:before="0"/>
              <w:jc w:val="left"/>
              <w:rPr>
                <w:sz w:val="22"/>
                <w:szCs w:val="22"/>
              </w:rPr>
            </w:pPr>
          </w:p>
        </w:tc>
        <w:tc>
          <w:tcPr>
            <w:tcW w:w="1583" w:type="dxa"/>
            <w:vAlign w:val="center"/>
          </w:tcPr>
          <w:p w:rsidR="00D74984" w:rsidRPr="00D74984" w:rsidRDefault="00D74984" w:rsidP="00D74984">
            <w:pPr>
              <w:keepNext/>
              <w:spacing w:before="0"/>
              <w:jc w:val="left"/>
              <w:rPr>
                <w:sz w:val="22"/>
                <w:szCs w:val="22"/>
              </w:rPr>
            </w:pPr>
          </w:p>
        </w:tc>
      </w:tr>
      <w:tr w:rsidR="00D74984" w:rsidRPr="00D74984" w:rsidTr="00D74984">
        <w:tc>
          <w:tcPr>
            <w:tcW w:w="528" w:type="dxa"/>
            <w:tcBorders>
              <w:top w:val="single" w:sz="4" w:space="0" w:color="auto"/>
              <w:left w:val="single" w:sz="4" w:space="0" w:color="auto"/>
              <w:bottom w:val="single" w:sz="4" w:space="0" w:color="auto"/>
              <w:right w:val="single" w:sz="4" w:space="0" w:color="auto"/>
            </w:tcBorders>
            <w:shd w:val="clear" w:color="auto" w:fill="auto"/>
          </w:tcPr>
          <w:p w:rsidR="00D74984" w:rsidRPr="00D74984" w:rsidRDefault="00D74984" w:rsidP="00D74984">
            <w:pPr>
              <w:spacing w:before="0"/>
              <w:jc w:val="center"/>
              <w:rPr>
                <w:color w:val="000000"/>
                <w:sz w:val="22"/>
                <w:szCs w:val="22"/>
              </w:rPr>
            </w:pPr>
          </w:p>
        </w:tc>
        <w:tc>
          <w:tcPr>
            <w:tcW w:w="3553" w:type="dxa"/>
          </w:tcPr>
          <w:p w:rsidR="00D74984" w:rsidRPr="00D74984" w:rsidRDefault="00D74984" w:rsidP="00D74984">
            <w:pPr>
              <w:spacing w:before="0"/>
              <w:rPr>
                <w:sz w:val="20"/>
                <w:szCs w:val="20"/>
                <w:lang w:val="en-US"/>
              </w:rPr>
            </w:pPr>
            <w:r w:rsidRPr="00D74984">
              <w:rPr>
                <w:sz w:val="20"/>
                <w:szCs w:val="20"/>
                <w:lang w:val="en-US"/>
              </w:rPr>
              <w:t>WINHOME 10 Russian OLV NL Each AcademicEdition Legalization GetGenuine Legalization</w:t>
            </w:r>
          </w:p>
        </w:tc>
        <w:tc>
          <w:tcPr>
            <w:tcW w:w="5553" w:type="dxa"/>
            <w:shd w:val="clear" w:color="auto" w:fill="auto"/>
          </w:tcPr>
          <w:p w:rsidR="00D74984" w:rsidRPr="00D74984" w:rsidRDefault="00D74984" w:rsidP="00D74984">
            <w:pPr>
              <w:spacing w:before="0"/>
              <w:rPr>
                <w:sz w:val="20"/>
                <w:szCs w:val="20"/>
              </w:rPr>
            </w:pPr>
            <w:r w:rsidRPr="00D74984">
              <w:rPr>
                <w:sz w:val="20"/>
                <w:szCs w:val="20"/>
              </w:rPr>
              <w:t xml:space="preserve">Корпоративная версия для лицензирования ранее установленных операционных систем Microsoft Windows на имеющихся у заказчика персональных компьютерах с возможностью </w:t>
            </w:r>
            <w:r w:rsidRPr="00D74984">
              <w:rPr>
                <w:sz w:val="20"/>
                <w:szCs w:val="20"/>
              </w:rPr>
              <w:tab/>
              <w:t>даунгрейда. В комплект поставки должны входить оригинальные фирменные наклейки с сертификатом подлинности (COA).</w:t>
            </w:r>
          </w:p>
          <w:p w:rsidR="00D74984" w:rsidRPr="00D74984" w:rsidRDefault="00D74984" w:rsidP="00D74984">
            <w:pPr>
              <w:spacing w:before="0"/>
              <w:rPr>
                <w:sz w:val="20"/>
                <w:szCs w:val="20"/>
                <w:u w:val="single"/>
              </w:rPr>
            </w:pPr>
            <w:r w:rsidRPr="00D74984">
              <w:rPr>
                <w:sz w:val="20"/>
                <w:szCs w:val="20"/>
                <w:u w:val="single"/>
              </w:rPr>
              <w:t>Основные характеристики</w:t>
            </w:r>
          </w:p>
          <w:p w:rsidR="00D74984" w:rsidRPr="00D74984" w:rsidRDefault="00D74984" w:rsidP="00D74984">
            <w:pPr>
              <w:spacing w:before="0"/>
              <w:rPr>
                <w:sz w:val="20"/>
                <w:szCs w:val="20"/>
              </w:rPr>
            </w:pPr>
            <w:r w:rsidRPr="00D74984">
              <w:rPr>
                <w:sz w:val="20"/>
                <w:szCs w:val="20"/>
              </w:rPr>
              <w:t>Категория: Образовательное учреждение</w:t>
            </w:r>
          </w:p>
          <w:p w:rsidR="00D74984" w:rsidRPr="00D74984" w:rsidRDefault="00D74984" w:rsidP="00D74984">
            <w:pPr>
              <w:spacing w:before="0"/>
              <w:rPr>
                <w:sz w:val="20"/>
                <w:szCs w:val="20"/>
              </w:rPr>
            </w:pPr>
            <w:r w:rsidRPr="00D74984">
              <w:rPr>
                <w:sz w:val="20"/>
                <w:szCs w:val="20"/>
              </w:rPr>
              <w:t>Назначение: Операционная система</w:t>
            </w:r>
          </w:p>
          <w:p w:rsidR="00D74984" w:rsidRPr="00D74984" w:rsidRDefault="00D74984" w:rsidP="00D74984">
            <w:pPr>
              <w:spacing w:before="0"/>
              <w:rPr>
                <w:sz w:val="20"/>
                <w:szCs w:val="20"/>
              </w:rPr>
            </w:pPr>
            <w:r w:rsidRPr="00D74984">
              <w:rPr>
                <w:sz w:val="20"/>
                <w:szCs w:val="20"/>
              </w:rPr>
              <w:t>Версия: Windows Home 10</w:t>
            </w:r>
          </w:p>
          <w:p w:rsidR="00D74984" w:rsidRPr="00D74984" w:rsidRDefault="00D74984" w:rsidP="00D74984">
            <w:pPr>
              <w:spacing w:before="0"/>
              <w:rPr>
                <w:sz w:val="20"/>
                <w:szCs w:val="20"/>
              </w:rPr>
            </w:pPr>
            <w:r w:rsidRPr="00D74984">
              <w:rPr>
                <w:sz w:val="20"/>
                <w:szCs w:val="20"/>
              </w:rPr>
              <w:t>Платформа: Десктоп</w:t>
            </w:r>
          </w:p>
          <w:p w:rsidR="00D74984" w:rsidRPr="00D74984" w:rsidRDefault="00D74984" w:rsidP="00D74984">
            <w:pPr>
              <w:spacing w:before="0"/>
              <w:rPr>
                <w:sz w:val="20"/>
                <w:szCs w:val="20"/>
              </w:rPr>
            </w:pPr>
            <w:r w:rsidRPr="00D74984">
              <w:rPr>
                <w:sz w:val="20"/>
                <w:szCs w:val="20"/>
              </w:rPr>
              <w:t>ОС: Windows</w:t>
            </w:r>
          </w:p>
          <w:p w:rsidR="00D74984" w:rsidRPr="00D74984" w:rsidRDefault="00D74984" w:rsidP="00D74984">
            <w:pPr>
              <w:spacing w:before="0"/>
              <w:rPr>
                <w:sz w:val="20"/>
                <w:szCs w:val="20"/>
              </w:rPr>
            </w:pPr>
            <w:r w:rsidRPr="00D74984">
              <w:rPr>
                <w:sz w:val="20"/>
                <w:szCs w:val="20"/>
              </w:rPr>
              <w:t>Срок использования: Бессрочное</w:t>
            </w:r>
          </w:p>
          <w:p w:rsidR="00D74984" w:rsidRPr="00D74984" w:rsidRDefault="00D74984" w:rsidP="00D74984">
            <w:pPr>
              <w:spacing w:before="0"/>
              <w:rPr>
                <w:sz w:val="20"/>
                <w:szCs w:val="20"/>
              </w:rPr>
            </w:pPr>
            <w:r w:rsidRPr="00D74984">
              <w:rPr>
                <w:sz w:val="20"/>
                <w:szCs w:val="20"/>
              </w:rPr>
              <w:t>Язык интерфейса: Русский</w:t>
            </w:r>
          </w:p>
          <w:p w:rsidR="00D74984" w:rsidRPr="00D74984" w:rsidRDefault="00D74984" w:rsidP="00D74984">
            <w:pPr>
              <w:spacing w:before="0"/>
              <w:rPr>
                <w:sz w:val="20"/>
                <w:szCs w:val="20"/>
              </w:rPr>
            </w:pPr>
            <w:r w:rsidRPr="00D74984">
              <w:rPr>
                <w:sz w:val="20"/>
                <w:szCs w:val="20"/>
              </w:rPr>
              <w:t>Форма поставки: Электронная</w:t>
            </w:r>
          </w:p>
          <w:p w:rsidR="00D74984" w:rsidRPr="00D74984" w:rsidRDefault="00D74984" w:rsidP="00D74984">
            <w:pPr>
              <w:spacing w:before="0"/>
              <w:rPr>
                <w:sz w:val="20"/>
                <w:szCs w:val="20"/>
              </w:rPr>
            </w:pPr>
            <w:r w:rsidRPr="00D74984">
              <w:rPr>
                <w:sz w:val="20"/>
                <w:szCs w:val="20"/>
              </w:rPr>
              <w:t>Объект лицензирования: Рабочая станция</w:t>
            </w:r>
          </w:p>
          <w:p w:rsidR="00D74984" w:rsidRPr="00D74984" w:rsidRDefault="00D74984" w:rsidP="00D74984">
            <w:pPr>
              <w:spacing w:before="0"/>
              <w:rPr>
                <w:sz w:val="20"/>
                <w:szCs w:val="20"/>
                <w:u w:val="single"/>
              </w:rPr>
            </w:pPr>
            <w:r w:rsidRPr="00D74984">
              <w:rPr>
                <w:sz w:val="20"/>
                <w:szCs w:val="20"/>
                <w:u w:val="single"/>
              </w:rPr>
              <w:t>Совместимость</w:t>
            </w:r>
          </w:p>
          <w:p w:rsidR="00D74984" w:rsidRPr="00D74984" w:rsidRDefault="00D74984" w:rsidP="00D74984">
            <w:pPr>
              <w:spacing w:before="0"/>
              <w:rPr>
                <w:sz w:val="20"/>
                <w:szCs w:val="20"/>
              </w:rPr>
            </w:pPr>
            <w:r w:rsidRPr="00D74984">
              <w:rPr>
                <w:sz w:val="20"/>
                <w:szCs w:val="20"/>
              </w:rPr>
              <w:t>Версии для легализации: Windows Home 10</w:t>
            </w:r>
          </w:p>
        </w:tc>
        <w:tc>
          <w:tcPr>
            <w:tcW w:w="2268" w:type="dxa"/>
            <w:vAlign w:val="center"/>
          </w:tcPr>
          <w:p w:rsidR="00D74984" w:rsidRPr="00D74984" w:rsidRDefault="00D74984" w:rsidP="00D74984">
            <w:pPr>
              <w:keepNext/>
              <w:spacing w:before="0"/>
              <w:jc w:val="left"/>
              <w:rPr>
                <w:sz w:val="22"/>
                <w:szCs w:val="22"/>
              </w:rPr>
            </w:pPr>
          </w:p>
        </w:tc>
        <w:tc>
          <w:tcPr>
            <w:tcW w:w="1890" w:type="dxa"/>
            <w:vAlign w:val="center"/>
          </w:tcPr>
          <w:p w:rsidR="00D74984" w:rsidRPr="00D74984" w:rsidRDefault="00D74984" w:rsidP="00D74984">
            <w:pPr>
              <w:keepNext/>
              <w:spacing w:before="0"/>
              <w:jc w:val="left"/>
              <w:rPr>
                <w:sz w:val="22"/>
                <w:szCs w:val="22"/>
              </w:rPr>
            </w:pPr>
          </w:p>
        </w:tc>
        <w:tc>
          <w:tcPr>
            <w:tcW w:w="1583" w:type="dxa"/>
            <w:vAlign w:val="center"/>
          </w:tcPr>
          <w:p w:rsidR="00D74984" w:rsidRPr="00D74984" w:rsidRDefault="00D74984" w:rsidP="00D74984">
            <w:pPr>
              <w:keepNext/>
              <w:spacing w:before="0"/>
              <w:jc w:val="left"/>
              <w:rPr>
                <w:sz w:val="22"/>
                <w:szCs w:val="22"/>
              </w:rPr>
            </w:pPr>
          </w:p>
        </w:tc>
      </w:tr>
    </w:tbl>
    <w:p w:rsidR="00ED5B7B" w:rsidRPr="00D74984"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3" w:name="_Ref446502347"/>
      <w:bookmarkStart w:id="294" w:name="_Toc467849820"/>
      <w:bookmarkStart w:id="295" w:name="_Toc527040931"/>
      <w:bookmarkStart w:id="296"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2</w:t>
      </w:r>
      <w:r w:rsidR="0077120C">
        <w:rPr>
          <w:noProof/>
        </w:rPr>
        <w:fldChar w:fldCharType="end"/>
      </w:r>
      <w:r>
        <w:t>)</w:t>
      </w:r>
      <w:bookmarkEnd w:id="293"/>
      <w:bookmarkEnd w:id="294"/>
      <w:bookmarkEnd w:id="295"/>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7" w:name="_Toc527040932"/>
      <w:r w:rsidRPr="001C784B">
        <w:lastRenderedPageBreak/>
        <w:t>Приложения к документации о закупке</w:t>
      </w:r>
      <w:bookmarkEnd w:id="296"/>
      <w:bookmarkEnd w:id="297"/>
    </w:p>
    <w:p w:rsidR="00714027" w:rsidRPr="001C784B" w:rsidRDefault="00714027" w:rsidP="00EE5874">
      <w:pPr>
        <w:pStyle w:val="11"/>
        <w:numPr>
          <w:ilvl w:val="0"/>
          <w:numId w:val="0"/>
        </w:numPr>
        <w:ind w:left="1134" w:hanging="1134"/>
      </w:pPr>
      <w:bookmarkStart w:id="298" w:name="_Ref443485882"/>
      <w:bookmarkStart w:id="299" w:name="_Ref443487149"/>
      <w:bookmarkStart w:id="300" w:name="_Toc467849822"/>
      <w:bookmarkStart w:id="301" w:name="_Toc527040933"/>
      <w:r w:rsidRPr="001C784B">
        <w:t xml:space="preserve">ПРИЛОЖЕНИЕ 1: Проект </w:t>
      </w:r>
      <w:r>
        <w:t>договора</w:t>
      </w:r>
      <w:bookmarkEnd w:id="298"/>
      <w:bookmarkEnd w:id="299"/>
      <w:bookmarkEnd w:id="300"/>
      <w:bookmarkEnd w:id="301"/>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F80BE0" w:rsidRPr="00F80BE0" w:rsidRDefault="00F80BE0" w:rsidP="00F80BE0">
            <w:pPr>
              <w:jc w:val="center"/>
              <w:rPr>
                <w:rFonts w:eastAsia="Calibri"/>
                <w:b/>
                <w:sz w:val="24"/>
                <w:szCs w:val="24"/>
              </w:rPr>
            </w:pPr>
            <w:bookmarkStart w:id="302" w:name="_Ref443403835"/>
            <w:bookmarkStart w:id="303" w:name="_Ref443487173"/>
            <w:bookmarkStart w:id="304" w:name="_Ref464232660"/>
            <w:bookmarkStart w:id="305" w:name="_Ref464233492"/>
            <w:bookmarkStart w:id="306" w:name="_Ref464234096"/>
            <w:r w:rsidRPr="00F80BE0">
              <w:rPr>
                <w:rFonts w:eastAsia="Calibri"/>
                <w:b/>
                <w:sz w:val="24"/>
                <w:szCs w:val="24"/>
              </w:rPr>
              <w:t xml:space="preserve">Сублицензионный договор № </w:t>
            </w:r>
          </w:p>
          <w:p w:rsidR="00F80BE0" w:rsidRPr="00F80BE0" w:rsidRDefault="00F80BE0" w:rsidP="00F80BE0">
            <w:pPr>
              <w:jc w:val="center"/>
              <w:rPr>
                <w:rFonts w:eastAsia="Calibri"/>
                <w:b/>
                <w:sz w:val="24"/>
                <w:szCs w:val="24"/>
              </w:rPr>
            </w:pPr>
          </w:p>
          <w:p w:rsidR="00F80BE0" w:rsidRPr="00F80BE0" w:rsidRDefault="00F80BE0" w:rsidP="00F80BE0">
            <w:pPr>
              <w:rPr>
                <w:rFonts w:eastAsia="Calibri"/>
                <w:b/>
                <w:sz w:val="24"/>
                <w:szCs w:val="24"/>
              </w:rPr>
            </w:pPr>
            <w:r w:rsidRPr="00F80BE0">
              <w:rPr>
                <w:rFonts w:eastAsia="Calibri"/>
                <w:b/>
                <w:sz w:val="24"/>
                <w:szCs w:val="24"/>
              </w:rPr>
              <w:t>г. Мирный, РС (Я)</w:t>
            </w:r>
            <w:r w:rsidRPr="00F80BE0">
              <w:rPr>
                <w:rFonts w:eastAsia="Calibri"/>
                <w:b/>
                <w:sz w:val="24"/>
                <w:szCs w:val="24"/>
              </w:rPr>
              <w:tab/>
            </w:r>
            <w:r w:rsidRPr="00F80BE0">
              <w:rPr>
                <w:rFonts w:eastAsia="Calibri"/>
                <w:b/>
                <w:sz w:val="24"/>
                <w:szCs w:val="24"/>
              </w:rPr>
              <w:tab/>
            </w:r>
            <w:r w:rsidRPr="00F80BE0">
              <w:rPr>
                <w:rFonts w:eastAsia="Calibri"/>
                <w:b/>
                <w:sz w:val="24"/>
                <w:szCs w:val="24"/>
              </w:rPr>
              <w:tab/>
              <w:t xml:space="preserve">          </w:t>
            </w:r>
            <w:r w:rsidRPr="00F80BE0">
              <w:rPr>
                <w:rFonts w:eastAsia="Calibri"/>
                <w:b/>
                <w:sz w:val="24"/>
                <w:szCs w:val="24"/>
              </w:rPr>
              <w:tab/>
              <w:t xml:space="preserve">                  </w:t>
            </w:r>
            <w:r>
              <w:rPr>
                <w:rFonts w:eastAsia="Calibri"/>
                <w:b/>
                <w:sz w:val="24"/>
                <w:szCs w:val="24"/>
              </w:rPr>
              <w:t xml:space="preserve">      «_____» ______________2021</w:t>
            </w:r>
            <w:r w:rsidRPr="00F80BE0">
              <w:rPr>
                <w:rFonts w:eastAsia="Calibri"/>
                <w:b/>
                <w:sz w:val="24"/>
                <w:szCs w:val="24"/>
              </w:rPr>
              <w:t xml:space="preserve"> года</w:t>
            </w:r>
          </w:p>
          <w:p w:rsidR="00F80BE0" w:rsidRPr="00F80BE0" w:rsidRDefault="00F80BE0" w:rsidP="00F80BE0">
            <w:pPr>
              <w:rPr>
                <w:rFonts w:eastAsia="Calibri"/>
                <w:b/>
                <w:sz w:val="24"/>
                <w:szCs w:val="24"/>
              </w:rPr>
            </w:pPr>
          </w:p>
          <w:p w:rsidR="00F80BE0" w:rsidRPr="00F80BE0" w:rsidRDefault="00F80BE0" w:rsidP="00F80BE0">
            <w:pPr>
              <w:ind w:firstLine="567"/>
              <w:rPr>
                <w:rFonts w:eastAsia="Calibri"/>
                <w:sz w:val="24"/>
                <w:szCs w:val="24"/>
              </w:rPr>
            </w:pPr>
            <w:r w:rsidRPr="00F80BE0">
              <w:rPr>
                <w:rFonts w:eastAsia="Calibri"/>
                <w:sz w:val="24"/>
                <w:szCs w:val="24"/>
              </w:rPr>
              <w:t xml:space="preserve">Автономная некоммерческая дошкольная образовательная организация «Алмазик», именуемое в дальнейшем "Сублицензиат", в лице исполнительного директора Балахонского Евгения Евгеньевича, действующего на основании Устава, с одной стороны, и </w:t>
            </w:r>
            <w:r>
              <w:rPr>
                <w:rFonts w:eastAsia="Calibri"/>
                <w:sz w:val="24"/>
                <w:szCs w:val="24"/>
              </w:rPr>
              <w:t>_______________________</w:t>
            </w:r>
            <w:r w:rsidRPr="00F80BE0">
              <w:rPr>
                <w:rFonts w:eastAsia="Calibri"/>
                <w:sz w:val="24"/>
                <w:szCs w:val="24"/>
              </w:rPr>
              <w:t xml:space="preserve">, именуемый в дальнейшем "Лицензиат", в лице </w:t>
            </w:r>
            <w:r>
              <w:rPr>
                <w:rFonts w:eastAsia="Calibri"/>
                <w:sz w:val="24"/>
                <w:szCs w:val="24"/>
              </w:rPr>
              <w:t>___________</w:t>
            </w:r>
            <w:r w:rsidRPr="00F80BE0">
              <w:rPr>
                <w:rFonts w:eastAsia="Calibri"/>
                <w:sz w:val="24"/>
                <w:szCs w:val="24"/>
              </w:rPr>
              <w:t xml:space="preserve">, действующей на основании </w:t>
            </w:r>
            <w:r>
              <w:rPr>
                <w:rFonts w:eastAsia="Calibri"/>
                <w:sz w:val="24"/>
                <w:szCs w:val="24"/>
              </w:rPr>
              <w:t>______________</w:t>
            </w:r>
            <w:r w:rsidRPr="00F80BE0">
              <w:rPr>
                <w:rFonts w:eastAsia="Calibri"/>
                <w:sz w:val="24"/>
                <w:szCs w:val="24"/>
              </w:rPr>
              <w:t>, с другой стороны, заключили настоящий лицензионный договор о нижеследующем:</w:t>
            </w:r>
          </w:p>
          <w:p w:rsidR="00F80BE0" w:rsidRPr="00F80BE0" w:rsidRDefault="00F80BE0" w:rsidP="00F80BE0">
            <w:pPr>
              <w:ind w:firstLine="567"/>
              <w:rPr>
                <w:rFonts w:eastAsia="Calibri"/>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Предмет Договора</w:t>
            </w:r>
          </w:p>
          <w:p w:rsidR="00F80BE0" w:rsidRPr="00F80BE0" w:rsidRDefault="00F80BE0" w:rsidP="00F80BE0">
            <w:pPr>
              <w:ind w:firstLine="567"/>
              <w:rPr>
                <w:rFonts w:eastAsia="Calibri"/>
                <w:sz w:val="24"/>
                <w:szCs w:val="24"/>
              </w:rPr>
            </w:pPr>
            <w:r w:rsidRPr="00F80BE0">
              <w:rPr>
                <w:rFonts w:eastAsia="Calibri"/>
                <w:sz w:val="24"/>
                <w:szCs w:val="24"/>
              </w:rPr>
              <w:t>1.1. Лицензиат на основании лицензионного (сублицензионного) договора, заключенного между ним и правообладателем исключительных прав, обязуется предоставить Сублицензиату на условиях простой (неисключительной) лицензии неисключительные права на использование программного обеспечения и материальные носители программного обеспечения (дистрибутивы) согласно спецификации Приложение №1 к настоящему Договору (далее - Программное обеспечение) на условиях и в порядке, указанных в разделе 2 настоящего Договора.</w:t>
            </w:r>
          </w:p>
          <w:p w:rsidR="00F80BE0" w:rsidRPr="00F80BE0" w:rsidRDefault="00F80BE0" w:rsidP="00F80BE0">
            <w:pPr>
              <w:ind w:firstLine="567"/>
              <w:rPr>
                <w:rFonts w:eastAsia="Calibri"/>
                <w:sz w:val="24"/>
                <w:szCs w:val="24"/>
              </w:rPr>
            </w:pPr>
            <w:r w:rsidRPr="00F80BE0">
              <w:rPr>
                <w:rFonts w:eastAsia="Calibri"/>
                <w:sz w:val="24"/>
                <w:szCs w:val="24"/>
              </w:rPr>
              <w:t>1.2. Сублицензиат со своей стороны обязуется уплатить Лицензиату обусловленное вознаграждение в размере, порядке и сроках, указанных в разделе 3 настоящего Договора.</w:t>
            </w:r>
          </w:p>
          <w:p w:rsidR="00F80BE0" w:rsidRPr="00F80BE0" w:rsidRDefault="00F80BE0" w:rsidP="00F80BE0">
            <w:pPr>
              <w:ind w:firstLine="567"/>
              <w:rPr>
                <w:rFonts w:eastAsia="Calibri"/>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Порядок исполнения Договора</w:t>
            </w:r>
          </w:p>
          <w:p w:rsidR="00F80BE0" w:rsidRPr="00F80BE0" w:rsidRDefault="00F80BE0" w:rsidP="00F80BE0">
            <w:pPr>
              <w:spacing w:before="0" w:line="276" w:lineRule="auto"/>
              <w:ind w:left="927"/>
              <w:contextualSpacing/>
              <w:rPr>
                <w:rFonts w:eastAsia="Calibri"/>
                <w:b/>
                <w:sz w:val="24"/>
                <w:szCs w:val="24"/>
              </w:rPr>
            </w:pP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По настоящему Договору Лицензиат предоставляет Сублицензиату права использования Программного обеспечения только в пределах тех прав и тех способов использования, которые предусмотрены лицензионным (сублицензионным) договором для Лицензиата.</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Права на использование программного обеспечения предоставляются в следующих пределах:</w:t>
            </w:r>
          </w:p>
          <w:p w:rsidR="00F80BE0" w:rsidRPr="00F80BE0" w:rsidRDefault="00F80BE0" w:rsidP="00F80BE0">
            <w:pPr>
              <w:numPr>
                <w:ilvl w:val="2"/>
                <w:numId w:val="42"/>
              </w:numPr>
              <w:spacing w:before="0" w:line="276" w:lineRule="auto"/>
              <w:contextualSpacing/>
              <w:rPr>
                <w:rFonts w:eastAsia="Calibri"/>
                <w:sz w:val="24"/>
                <w:szCs w:val="24"/>
              </w:rPr>
            </w:pPr>
            <w:r w:rsidRPr="00F80BE0">
              <w:rPr>
                <w:rFonts w:eastAsia="Calibri"/>
                <w:sz w:val="24"/>
                <w:szCs w:val="24"/>
              </w:rPr>
              <w:t>Право на воспроизведение, использование Программного обеспечения;</w:t>
            </w:r>
          </w:p>
          <w:p w:rsidR="00F80BE0" w:rsidRPr="00F80BE0" w:rsidRDefault="00F80BE0" w:rsidP="00F80BE0">
            <w:pPr>
              <w:numPr>
                <w:ilvl w:val="2"/>
                <w:numId w:val="42"/>
              </w:numPr>
              <w:spacing w:before="0" w:line="276" w:lineRule="auto"/>
              <w:contextualSpacing/>
              <w:rPr>
                <w:rFonts w:eastAsia="Calibri"/>
                <w:sz w:val="24"/>
                <w:szCs w:val="24"/>
              </w:rPr>
            </w:pPr>
            <w:r w:rsidRPr="00F80BE0">
              <w:rPr>
                <w:rFonts w:eastAsia="Calibri"/>
                <w:sz w:val="24"/>
                <w:szCs w:val="24"/>
              </w:rPr>
              <w:t>Право инсталляции, копирования и запуска программного обеспечения;</w:t>
            </w:r>
          </w:p>
          <w:p w:rsidR="00F80BE0" w:rsidRPr="00F80BE0" w:rsidRDefault="00F80BE0" w:rsidP="00F80BE0">
            <w:pPr>
              <w:numPr>
                <w:ilvl w:val="2"/>
                <w:numId w:val="42"/>
              </w:numPr>
              <w:spacing w:before="0" w:line="276" w:lineRule="auto"/>
              <w:contextualSpacing/>
              <w:rPr>
                <w:rFonts w:eastAsia="Calibri"/>
                <w:sz w:val="24"/>
                <w:szCs w:val="24"/>
              </w:rPr>
            </w:pPr>
            <w:r w:rsidRPr="00F80BE0">
              <w:rPr>
                <w:rFonts w:eastAsia="Calibri"/>
                <w:sz w:val="24"/>
                <w:szCs w:val="24"/>
              </w:rPr>
              <w:t>Иные права в пределах тех прав и тех способов использования, которые предусмотрены лицензионным (сублицензионным) договором для Лицензиата</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Передача неисключительных прав Сублицензиату на использование Программного обеспечения оформляется сторонами Актом приема-передачи и предоставления Лицензиатом Счетов-фактур.</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 xml:space="preserve"> Срок передачи неисключительных прав Сублицензиату на использование Программного обеспечения в полном объеме с момента заключения договора до </w:t>
            </w:r>
            <w:r>
              <w:rPr>
                <w:rFonts w:eastAsia="Calibri"/>
                <w:sz w:val="24"/>
                <w:szCs w:val="24"/>
              </w:rPr>
              <w:t>30 мая 2021</w:t>
            </w:r>
            <w:r w:rsidRPr="00F80BE0">
              <w:rPr>
                <w:rFonts w:eastAsia="Calibri"/>
                <w:sz w:val="24"/>
                <w:szCs w:val="24"/>
              </w:rPr>
              <w:t xml:space="preserve"> года.</w:t>
            </w:r>
          </w:p>
          <w:p w:rsidR="00F80BE0" w:rsidRPr="00F80BE0" w:rsidRDefault="00F80BE0" w:rsidP="00F80BE0">
            <w:pPr>
              <w:ind w:firstLine="142"/>
              <w:rPr>
                <w:rFonts w:eastAsia="Calibri"/>
                <w:sz w:val="24"/>
                <w:szCs w:val="24"/>
              </w:rPr>
            </w:pPr>
            <w:r w:rsidRPr="00F80BE0">
              <w:rPr>
                <w:rFonts w:eastAsia="Calibri"/>
                <w:sz w:val="24"/>
                <w:szCs w:val="24"/>
              </w:rPr>
              <w:t>2.5. Территорией, на которой допускается использование Программного обеспечения, права на использование которого предусмотрены настоящим Договором, является Российская Федерация.</w:t>
            </w:r>
          </w:p>
          <w:p w:rsidR="00F80BE0" w:rsidRPr="00F80BE0" w:rsidRDefault="00F80BE0" w:rsidP="00F80BE0">
            <w:pPr>
              <w:tabs>
                <w:tab w:val="left" w:pos="3870"/>
              </w:tabs>
              <w:ind w:firstLine="142"/>
              <w:rPr>
                <w:rFonts w:eastAsia="Calibri"/>
                <w:sz w:val="24"/>
                <w:szCs w:val="24"/>
              </w:rPr>
            </w:pPr>
            <w:r w:rsidRPr="00F80BE0">
              <w:rPr>
                <w:rFonts w:eastAsia="Calibri"/>
                <w:sz w:val="24"/>
                <w:szCs w:val="24"/>
              </w:rPr>
              <w:lastRenderedPageBreak/>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Размер вознаграждения, сроки и порядок расчетов</w:t>
            </w:r>
          </w:p>
          <w:p w:rsidR="00F80BE0" w:rsidRPr="00F80BE0" w:rsidRDefault="00F80BE0" w:rsidP="00F80BE0">
            <w:pPr>
              <w:spacing w:before="0" w:line="276" w:lineRule="auto"/>
              <w:ind w:left="927"/>
              <w:contextualSpacing/>
              <w:rPr>
                <w:rFonts w:eastAsia="Calibri"/>
                <w:b/>
                <w:sz w:val="24"/>
                <w:szCs w:val="24"/>
              </w:rPr>
            </w:pPr>
          </w:p>
          <w:p w:rsidR="00F80BE0" w:rsidRPr="00F80BE0" w:rsidRDefault="00F80BE0" w:rsidP="00F80BE0">
            <w:pPr>
              <w:numPr>
                <w:ilvl w:val="1"/>
                <w:numId w:val="42"/>
              </w:numPr>
              <w:contextualSpacing/>
              <w:rPr>
                <w:rFonts w:eastAsia="Calibri"/>
                <w:sz w:val="24"/>
                <w:szCs w:val="24"/>
              </w:rPr>
            </w:pPr>
            <w:r w:rsidRPr="00F80BE0">
              <w:rPr>
                <w:rFonts w:eastAsia="Calibri"/>
                <w:sz w:val="24"/>
                <w:szCs w:val="24"/>
              </w:rPr>
              <w:t xml:space="preserve">За использование прав, переданных по настоящему Договору, Сублицензиат выплачивает Лицензиату суммы вознаграждения, определяемые на основании Приложения №1, являющейся неотъемлемой частью настоящего Договора и составляет: </w:t>
            </w:r>
            <w:r>
              <w:rPr>
                <w:rFonts w:eastAsia="Calibri"/>
                <w:b/>
                <w:sz w:val="24"/>
                <w:szCs w:val="24"/>
              </w:rPr>
              <w:t>________________</w:t>
            </w:r>
            <w:r w:rsidRPr="00F80BE0">
              <w:rPr>
                <w:rFonts w:eastAsia="Calibri"/>
                <w:b/>
                <w:sz w:val="24"/>
                <w:szCs w:val="24"/>
              </w:rPr>
              <w:t xml:space="preserve"> </w:t>
            </w:r>
            <w:r w:rsidRPr="00F80BE0">
              <w:rPr>
                <w:rFonts w:eastAsia="Calibri"/>
                <w:sz w:val="24"/>
                <w:szCs w:val="24"/>
              </w:rPr>
              <w:t>(</w:t>
            </w:r>
            <w:r>
              <w:rPr>
                <w:rFonts w:eastAsia="Calibri"/>
                <w:sz w:val="24"/>
                <w:szCs w:val="24"/>
              </w:rPr>
              <w:t>сумма прописью</w:t>
            </w:r>
            <w:r w:rsidRPr="00F80BE0">
              <w:rPr>
                <w:rFonts w:eastAsia="Calibri"/>
                <w:sz w:val="24"/>
                <w:szCs w:val="24"/>
              </w:rPr>
              <w:t>)</w:t>
            </w:r>
            <w:r>
              <w:rPr>
                <w:rFonts w:eastAsia="Calibri"/>
                <w:b/>
                <w:sz w:val="24"/>
                <w:szCs w:val="24"/>
              </w:rPr>
              <w:t xml:space="preserve"> рублей ____</w:t>
            </w:r>
            <w:r w:rsidRPr="00F80BE0">
              <w:rPr>
                <w:rFonts w:eastAsia="Calibri"/>
                <w:b/>
                <w:sz w:val="24"/>
                <w:szCs w:val="24"/>
              </w:rPr>
              <w:t xml:space="preserve"> копеек,</w:t>
            </w:r>
            <w:r w:rsidRPr="00F80BE0">
              <w:rPr>
                <w:rFonts w:eastAsia="Calibri"/>
                <w:sz w:val="24"/>
                <w:szCs w:val="24"/>
              </w:rPr>
              <w:t xml:space="preserve"> </w:t>
            </w:r>
            <w:r>
              <w:rPr>
                <w:rFonts w:eastAsia="Calibri"/>
                <w:sz w:val="24"/>
                <w:szCs w:val="24"/>
              </w:rPr>
              <w:t>с НДС/без НДС (указать)</w:t>
            </w:r>
            <w:r w:rsidRPr="00F80BE0">
              <w:rPr>
                <w:rFonts w:eastAsia="Calibri"/>
                <w:sz w:val="24"/>
                <w:szCs w:val="24"/>
              </w:rPr>
              <w:t>.</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Оплата производится денежными средствами по факту передачи неисключительных прав Сублицензиату на использование Программного обеспечения в течение 30 дней на основании подписанных обеими сторонами Актов приема-передачи согласно выставленному счету</w:t>
            </w:r>
            <w:r w:rsidRPr="00F80BE0">
              <w:rPr>
                <w:rFonts w:eastAsia="Calibri"/>
              </w:rPr>
              <w:t xml:space="preserve"> </w:t>
            </w:r>
            <w:r w:rsidRPr="00F80BE0">
              <w:rPr>
                <w:rFonts w:eastAsia="Calibri"/>
                <w:sz w:val="24"/>
                <w:szCs w:val="24"/>
              </w:rPr>
              <w:t>и счету-фактуре.</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Валютой платежа в отношениях всех сумм подлежащей уплате Сублицензиатом по настоящему Договору, является Российский рубль.</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Платежи по настоящему Договору осуществляются путем банковского перевода соответствующих сумм на расчетный счет Лицензиата, указанный в настоящем Договоре.</w:t>
            </w:r>
          </w:p>
          <w:p w:rsidR="00F80BE0" w:rsidRPr="00F80BE0" w:rsidRDefault="00F80BE0" w:rsidP="00F80BE0">
            <w:pPr>
              <w:ind w:firstLine="284"/>
              <w:rPr>
                <w:rFonts w:eastAsia="Calibri"/>
                <w:sz w:val="24"/>
                <w:szCs w:val="24"/>
              </w:rPr>
            </w:pPr>
            <w:r w:rsidRPr="00F80BE0">
              <w:rPr>
                <w:rFonts w:eastAsia="Calibri"/>
                <w:sz w:val="24"/>
                <w:szCs w:val="24"/>
              </w:rPr>
              <w:t>3.8. Днем оплаты считается день поступления денежных средств на расчетный счет Лицензиата.</w:t>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Гарантии</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Лицензиат гарантирует, что он является обладателем передаваемых неисключительных прав согласно настоящего Договора на основании заключенного между ним и обладателем исключительного права лицензионным (сублицензионным) договором, а также, что согласно настоящего Договора Сублицензиату предоставлены права использования Программного обеспечения в пределах тех прав и тех способов использования, которые предусмотрены лицензионным (сублицензионным) договором для Лицензиата.</w:t>
            </w:r>
          </w:p>
          <w:p w:rsidR="00F80BE0" w:rsidRPr="00F80BE0" w:rsidRDefault="00F80BE0" w:rsidP="00F80BE0">
            <w:pPr>
              <w:numPr>
                <w:ilvl w:val="1"/>
                <w:numId w:val="42"/>
              </w:numPr>
              <w:spacing w:before="0" w:line="276" w:lineRule="auto"/>
              <w:contextualSpacing/>
              <w:rPr>
                <w:rFonts w:eastAsia="Calibri"/>
                <w:sz w:val="24"/>
                <w:szCs w:val="24"/>
              </w:rPr>
            </w:pPr>
            <w:r w:rsidRPr="00F80BE0">
              <w:rPr>
                <w:rFonts w:eastAsia="Calibri"/>
                <w:sz w:val="24"/>
                <w:szCs w:val="24"/>
              </w:rPr>
              <w:t>Лицензиат передает только лицензионное сертифицированное Программное обеспечение и не нарушает авторских и смежных прав третьих лиц.</w:t>
            </w:r>
          </w:p>
          <w:p w:rsidR="00F80BE0" w:rsidRPr="00F80BE0" w:rsidRDefault="00F80BE0" w:rsidP="00F80BE0">
            <w:pPr>
              <w:ind w:firstLine="567"/>
              <w:rPr>
                <w:rFonts w:eastAsia="Calibri"/>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Ответственность сторон</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pacing w:val="-3"/>
                <w:sz w:val="24"/>
                <w:szCs w:val="24"/>
              </w:rPr>
              <w:t xml:space="preserve">Если </w:t>
            </w:r>
            <w:bookmarkStart w:id="307" w:name="_Hlk35851090"/>
            <w:r w:rsidRPr="00F80BE0">
              <w:rPr>
                <w:rFonts w:eastAsia="Calibri"/>
                <w:spacing w:val="-3"/>
                <w:sz w:val="24"/>
                <w:szCs w:val="24"/>
              </w:rPr>
              <w:t>Лицензиат</w:t>
            </w:r>
            <w:bookmarkEnd w:id="307"/>
            <w:r w:rsidRPr="00F80BE0">
              <w:rPr>
                <w:rFonts w:eastAsia="Calibri"/>
                <w:spacing w:val="-3"/>
                <w:sz w:val="24"/>
                <w:szCs w:val="24"/>
              </w:rPr>
              <w:t xml:space="preserve"> своими некомпетентными или неправомерными </w:t>
            </w:r>
            <w:r w:rsidRPr="00F80BE0">
              <w:rPr>
                <w:rFonts w:eastAsia="Calibri"/>
                <w:spacing w:val="3"/>
                <w:sz w:val="24"/>
                <w:szCs w:val="24"/>
              </w:rPr>
              <w:t xml:space="preserve">действиями причинил </w:t>
            </w:r>
            <w:bookmarkStart w:id="308" w:name="_Hlk35851281"/>
            <w:r w:rsidRPr="00F80BE0">
              <w:rPr>
                <w:rFonts w:eastAsia="Calibri"/>
                <w:spacing w:val="3"/>
                <w:sz w:val="24"/>
                <w:szCs w:val="24"/>
              </w:rPr>
              <w:t>Сублицензиату</w:t>
            </w:r>
            <w:bookmarkEnd w:id="308"/>
            <w:r w:rsidRPr="00F80BE0">
              <w:rPr>
                <w:rFonts w:eastAsia="Calibri"/>
                <w:spacing w:val="3"/>
                <w:sz w:val="24"/>
                <w:szCs w:val="24"/>
              </w:rPr>
              <w:t xml:space="preserve"> убытки, он обязан возместить их в полном объеме в </w:t>
            </w:r>
            <w:r w:rsidRPr="00F80BE0">
              <w:rPr>
                <w:rFonts w:eastAsia="Calibri"/>
                <w:spacing w:val="-1"/>
                <w:sz w:val="24"/>
                <w:szCs w:val="24"/>
              </w:rPr>
              <w:t xml:space="preserve">течение одного месяца со дня предъявления претензии </w:t>
            </w:r>
            <w:r w:rsidRPr="00F80BE0">
              <w:rPr>
                <w:rFonts w:eastAsia="Calibri"/>
                <w:spacing w:val="3"/>
                <w:sz w:val="24"/>
                <w:szCs w:val="24"/>
              </w:rPr>
              <w:t>Сублицензиатом</w:t>
            </w:r>
            <w:r w:rsidRPr="00F80BE0">
              <w:rPr>
                <w:rFonts w:eastAsia="Calibri"/>
                <w:spacing w:val="-1"/>
                <w:sz w:val="24"/>
                <w:szCs w:val="24"/>
              </w:rPr>
              <w:t>.</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pacing w:val="-3"/>
                <w:sz w:val="24"/>
                <w:szCs w:val="24"/>
              </w:rPr>
              <w:t>Лицензиат</w:t>
            </w:r>
            <w:r w:rsidRPr="00F80BE0">
              <w:rPr>
                <w:rFonts w:eastAsia="Calibri"/>
                <w:sz w:val="24"/>
                <w:szCs w:val="24"/>
              </w:rPr>
              <w:t xml:space="preserve"> несет материальную ответственность за ущерб, возникший по вине Персонала Лицензиата в результате оказания услуг, ненадлежащего выполнения или невыполнения </w:t>
            </w:r>
            <w:r w:rsidRPr="00F80BE0">
              <w:rPr>
                <w:rFonts w:eastAsia="Calibri"/>
                <w:sz w:val="24"/>
                <w:szCs w:val="24"/>
              </w:rPr>
              <w:lastRenderedPageBreak/>
              <w:t>Персоналом функций.</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pacing w:val="8"/>
                <w:sz w:val="24"/>
                <w:szCs w:val="24"/>
              </w:rPr>
              <w:t xml:space="preserve">При невозможности исполнения настоящего договора по обстоятельствам, </w:t>
            </w:r>
            <w:r w:rsidRPr="00F80BE0">
              <w:rPr>
                <w:rFonts w:eastAsia="Calibri"/>
                <w:spacing w:val="-2"/>
                <w:sz w:val="24"/>
                <w:szCs w:val="24"/>
              </w:rPr>
              <w:t xml:space="preserve">за которые отвечает </w:t>
            </w:r>
            <w:r w:rsidRPr="00F80BE0">
              <w:rPr>
                <w:rFonts w:eastAsia="Calibri"/>
                <w:spacing w:val="-3"/>
                <w:sz w:val="24"/>
                <w:szCs w:val="24"/>
              </w:rPr>
              <w:t>Лицензиат</w:t>
            </w:r>
            <w:r w:rsidRPr="00F80BE0">
              <w:rPr>
                <w:rFonts w:eastAsia="Calibri"/>
                <w:spacing w:val="-2"/>
                <w:sz w:val="24"/>
                <w:szCs w:val="24"/>
              </w:rPr>
              <w:t xml:space="preserve">, последний не вправе требовать оплаты услуг, а если </w:t>
            </w:r>
            <w:r w:rsidRPr="00F80BE0">
              <w:rPr>
                <w:rFonts w:eastAsia="Calibri"/>
                <w:spacing w:val="4"/>
                <w:sz w:val="24"/>
                <w:szCs w:val="24"/>
              </w:rPr>
              <w:t xml:space="preserve">они уже оплачены </w:t>
            </w:r>
            <w:r w:rsidRPr="00F80BE0">
              <w:rPr>
                <w:rFonts w:eastAsia="Calibri"/>
                <w:spacing w:val="3"/>
                <w:sz w:val="24"/>
                <w:szCs w:val="24"/>
              </w:rPr>
              <w:t>Сублицензиатом</w:t>
            </w:r>
            <w:r w:rsidRPr="00F80BE0">
              <w:rPr>
                <w:rFonts w:eastAsia="Calibri"/>
                <w:spacing w:val="4"/>
                <w:sz w:val="24"/>
                <w:szCs w:val="24"/>
              </w:rPr>
              <w:t xml:space="preserve">, обязан возвратить полученную от него денежную </w:t>
            </w:r>
            <w:r w:rsidRPr="00F80BE0">
              <w:rPr>
                <w:rFonts w:eastAsia="Calibri"/>
                <w:spacing w:val="1"/>
                <w:sz w:val="24"/>
                <w:szCs w:val="24"/>
              </w:rPr>
              <w:t xml:space="preserve">сумму и возместить иные убытки, а также оплатить неустойку в размере 5 процентов от </w:t>
            </w:r>
            <w:r w:rsidRPr="00F80BE0">
              <w:rPr>
                <w:rFonts w:eastAsia="Calibri"/>
                <w:spacing w:val="-4"/>
                <w:sz w:val="24"/>
                <w:szCs w:val="24"/>
              </w:rPr>
              <w:t>суммы договора.</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pacing w:val="1"/>
                <w:sz w:val="24"/>
                <w:szCs w:val="24"/>
              </w:rPr>
              <w:t xml:space="preserve">В случае невозможности исполнения возникшей по вине </w:t>
            </w:r>
            <w:r w:rsidRPr="00F80BE0">
              <w:rPr>
                <w:rFonts w:eastAsia="Calibri"/>
                <w:spacing w:val="3"/>
                <w:sz w:val="24"/>
                <w:szCs w:val="24"/>
              </w:rPr>
              <w:t>Сублицензиата</w:t>
            </w:r>
            <w:r w:rsidRPr="00F80BE0">
              <w:rPr>
                <w:rFonts w:eastAsia="Calibri"/>
                <w:spacing w:val="1"/>
                <w:sz w:val="24"/>
                <w:szCs w:val="24"/>
              </w:rPr>
              <w:t xml:space="preserve">, услуги </w:t>
            </w:r>
            <w:r w:rsidRPr="00F80BE0">
              <w:rPr>
                <w:rFonts w:eastAsia="Calibri"/>
                <w:spacing w:val="3"/>
                <w:sz w:val="24"/>
                <w:szCs w:val="24"/>
              </w:rPr>
              <w:t xml:space="preserve">подлежат оплате в полном объеме, если иное не предусмотрено законом или настоящим </w:t>
            </w:r>
            <w:r w:rsidRPr="00F80BE0">
              <w:rPr>
                <w:rFonts w:eastAsia="Calibri"/>
                <w:spacing w:val="-3"/>
                <w:sz w:val="24"/>
                <w:szCs w:val="24"/>
              </w:rPr>
              <w:t>договором.</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 xml:space="preserve">В случае, когда невозможность исполнения настоящего Договора возникла по обстоятельствам, за которые ни одна из Сторон не отвечает, </w:t>
            </w:r>
            <w:r w:rsidRPr="00F80BE0">
              <w:rPr>
                <w:rFonts w:eastAsia="Calibri"/>
                <w:spacing w:val="3"/>
                <w:sz w:val="24"/>
                <w:szCs w:val="24"/>
              </w:rPr>
              <w:t xml:space="preserve">Сублицензиат </w:t>
            </w:r>
            <w:r w:rsidRPr="00F80BE0">
              <w:rPr>
                <w:rFonts w:eastAsia="Calibri"/>
                <w:sz w:val="24"/>
                <w:szCs w:val="24"/>
              </w:rPr>
              <w:t xml:space="preserve">возмещает </w:t>
            </w:r>
            <w:r w:rsidRPr="00F80BE0">
              <w:rPr>
                <w:rFonts w:eastAsia="Calibri"/>
                <w:spacing w:val="-3"/>
                <w:sz w:val="24"/>
                <w:szCs w:val="24"/>
              </w:rPr>
              <w:t>Лицензиату</w:t>
            </w:r>
            <w:r w:rsidRPr="00F80BE0">
              <w:rPr>
                <w:rFonts w:eastAsia="Calibri"/>
                <w:sz w:val="24"/>
                <w:szCs w:val="24"/>
              </w:rPr>
              <w:t xml:space="preserve"> фактически понесенные им расходы, если иное не установлено законом или настоящим Договором.</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 xml:space="preserve">Если услуги оказаны   </w:t>
            </w:r>
            <w:r w:rsidRPr="00F80BE0">
              <w:rPr>
                <w:rFonts w:eastAsia="Calibri"/>
                <w:spacing w:val="-3"/>
                <w:sz w:val="24"/>
                <w:szCs w:val="24"/>
              </w:rPr>
              <w:t>Лицензиат</w:t>
            </w:r>
            <w:r w:rsidRPr="00F80BE0">
              <w:rPr>
                <w:rFonts w:eastAsia="Calibri"/>
                <w:sz w:val="24"/>
                <w:szCs w:val="24"/>
              </w:rPr>
              <w:t xml:space="preserve">ом с отступлением от настоящего Договора, ухудшившими результат работы, </w:t>
            </w:r>
            <w:r w:rsidRPr="00F80BE0">
              <w:rPr>
                <w:rFonts w:eastAsia="Calibri"/>
                <w:spacing w:val="3"/>
                <w:sz w:val="24"/>
                <w:szCs w:val="24"/>
              </w:rPr>
              <w:t xml:space="preserve">Сублицензиат </w:t>
            </w:r>
            <w:r w:rsidRPr="00F80BE0">
              <w:rPr>
                <w:rFonts w:eastAsia="Calibri"/>
                <w:sz w:val="24"/>
                <w:szCs w:val="24"/>
              </w:rPr>
              <w:t>вправе по своему выбору потребовать от Лицензиата:</w:t>
            </w:r>
          </w:p>
          <w:p w:rsidR="00F80BE0" w:rsidRPr="00F80BE0" w:rsidRDefault="00F80BE0" w:rsidP="00F80BE0">
            <w:pPr>
              <w:spacing w:line="276" w:lineRule="auto"/>
              <w:ind w:left="426"/>
              <w:rPr>
                <w:rFonts w:eastAsia="Calibri"/>
                <w:sz w:val="24"/>
                <w:szCs w:val="24"/>
              </w:rPr>
            </w:pPr>
            <w:r w:rsidRPr="00F80BE0">
              <w:rPr>
                <w:rFonts w:eastAsia="Calibri"/>
                <w:sz w:val="24"/>
                <w:szCs w:val="24"/>
              </w:rPr>
              <w:t>- безвозмездного устранения недостатков в разумный срок;</w:t>
            </w:r>
          </w:p>
          <w:p w:rsidR="00F80BE0" w:rsidRPr="00F80BE0" w:rsidRDefault="00F80BE0" w:rsidP="00F80BE0">
            <w:pPr>
              <w:spacing w:line="276" w:lineRule="auto"/>
              <w:ind w:left="426"/>
              <w:rPr>
                <w:rFonts w:eastAsia="Calibri"/>
                <w:sz w:val="24"/>
                <w:szCs w:val="24"/>
              </w:rPr>
            </w:pPr>
            <w:r w:rsidRPr="00F80BE0">
              <w:rPr>
                <w:rFonts w:eastAsia="Calibri"/>
                <w:sz w:val="24"/>
                <w:szCs w:val="24"/>
              </w:rPr>
              <w:t>- соразмерного уменьшения установленной за работу цены.</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 xml:space="preserve"> За нарушение срока оплаты оказанных услуг </w:t>
            </w:r>
            <w:r w:rsidRPr="00F80BE0">
              <w:rPr>
                <w:rFonts w:eastAsia="Calibri"/>
                <w:spacing w:val="-3"/>
                <w:sz w:val="24"/>
                <w:szCs w:val="24"/>
              </w:rPr>
              <w:t>Лицензиат</w:t>
            </w:r>
            <w:r w:rsidRPr="00F80BE0">
              <w:rPr>
                <w:rFonts w:eastAsia="Calibri"/>
                <w:sz w:val="24"/>
                <w:szCs w:val="24"/>
              </w:rPr>
              <w:t xml:space="preserve"> вправе потребовать от </w:t>
            </w:r>
            <w:r w:rsidRPr="00F80BE0">
              <w:rPr>
                <w:rFonts w:eastAsia="Calibri"/>
                <w:spacing w:val="3"/>
                <w:sz w:val="24"/>
                <w:szCs w:val="24"/>
              </w:rPr>
              <w:t xml:space="preserve">Сублицензиата </w:t>
            </w:r>
            <w:r w:rsidRPr="00F80BE0">
              <w:rPr>
                <w:rFonts w:eastAsia="Calibri"/>
                <w:sz w:val="24"/>
                <w:szCs w:val="24"/>
              </w:rPr>
              <w:t>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 xml:space="preserve">За нарушение срока оказания услуг </w:t>
            </w:r>
            <w:r w:rsidRPr="00F80BE0">
              <w:rPr>
                <w:rFonts w:eastAsia="Calibri"/>
                <w:spacing w:val="-3"/>
                <w:sz w:val="24"/>
                <w:szCs w:val="24"/>
              </w:rPr>
              <w:t>Лицензиат</w:t>
            </w:r>
            <w:r w:rsidRPr="00F80BE0">
              <w:rPr>
                <w:rFonts w:eastAsia="Calibri"/>
                <w:sz w:val="24"/>
                <w:szCs w:val="24"/>
              </w:rPr>
              <w:t xml:space="preserve"> уплачивает </w:t>
            </w:r>
            <w:r w:rsidRPr="00F80BE0">
              <w:rPr>
                <w:rFonts w:eastAsia="Calibri"/>
                <w:spacing w:val="3"/>
                <w:sz w:val="24"/>
                <w:szCs w:val="24"/>
              </w:rPr>
              <w:t>Сублицензиату</w:t>
            </w:r>
            <w:r w:rsidRPr="00F80BE0">
              <w:rPr>
                <w:rFonts w:eastAsia="Calibri"/>
                <w:sz w:val="24"/>
                <w:szCs w:val="24"/>
              </w:rPr>
              <w:t xml:space="preserve"> неустойку в размере </w:t>
            </w:r>
            <w:r w:rsidRPr="00F80BE0">
              <w:rPr>
                <w:rFonts w:eastAsia="Calibri"/>
                <w:b/>
                <w:sz w:val="24"/>
                <w:szCs w:val="24"/>
              </w:rPr>
              <w:t xml:space="preserve">двойной </w:t>
            </w:r>
            <w:r w:rsidRPr="00F80BE0">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pacing w:val="3"/>
                <w:sz w:val="24"/>
                <w:szCs w:val="24"/>
              </w:rPr>
              <w:t xml:space="preserve">Сублицензиат </w:t>
            </w:r>
            <w:r w:rsidRPr="00F80BE0">
              <w:rPr>
                <w:rFonts w:eastAsia="Calibri"/>
                <w:sz w:val="24"/>
                <w:szCs w:val="24"/>
              </w:rPr>
              <w:t xml:space="preserve">имеет право на расчет в одностороннем порядке суммы неустойки (штрафа) за несвоевременное исполнение </w:t>
            </w:r>
            <w:r w:rsidRPr="00F80BE0">
              <w:rPr>
                <w:rFonts w:eastAsia="Calibri"/>
                <w:spacing w:val="-3"/>
                <w:sz w:val="24"/>
                <w:szCs w:val="24"/>
              </w:rPr>
              <w:t>Лицензиат</w:t>
            </w:r>
            <w:r w:rsidRPr="00F80BE0">
              <w:rPr>
                <w:rFonts w:eastAsia="Calibri"/>
                <w:sz w:val="24"/>
                <w:szCs w:val="24"/>
              </w:rPr>
              <w:t xml:space="preserve">ом своих обязательств и на ее односторонний зачет в счет оплаты Лицензиату. Для проведения зачета достаточно заявления </w:t>
            </w:r>
            <w:r w:rsidRPr="00F80BE0">
              <w:rPr>
                <w:rFonts w:eastAsia="Calibri"/>
                <w:spacing w:val="3"/>
                <w:sz w:val="24"/>
                <w:szCs w:val="24"/>
              </w:rPr>
              <w:t xml:space="preserve">Сублицензиата </w:t>
            </w:r>
            <w:r w:rsidRPr="00F80BE0">
              <w:rPr>
                <w:rFonts w:eastAsia="Calibri"/>
                <w:sz w:val="24"/>
                <w:szCs w:val="24"/>
              </w:rPr>
              <w:t>в адрес Лицензиата с указанием суммы неустойки и ее расчета.</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 xml:space="preserve">Независимо от уплаты неустойки, Лицензиат возмещает </w:t>
            </w:r>
            <w:r w:rsidRPr="00F80BE0">
              <w:rPr>
                <w:rFonts w:eastAsia="Calibri"/>
                <w:spacing w:val="3"/>
                <w:sz w:val="24"/>
                <w:szCs w:val="24"/>
              </w:rPr>
              <w:t>Сублицензиату</w:t>
            </w:r>
            <w:r w:rsidRPr="00F80BE0">
              <w:rPr>
                <w:rFonts w:eastAsia="Calibri"/>
                <w:sz w:val="24"/>
                <w:szCs w:val="24"/>
              </w:rPr>
              <w:t xml:space="preserve"> убытки, возникшие в результате ненадлежащего исполнения обязательств</w:t>
            </w:r>
            <w:r w:rsidRPr="00F80BE0">
              <w:rPr>
                <w:rFonts w:eastAsia="Calibri"/>
                <w:spacing w:val="-2"/>
                <w:sz w:val="24"/>
                <w:szCs w:val="24"/>
              </w:rPr>
              <w:t>.</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
                <w:bCs/>
                <w:spacing w:val="-2"/>
                <w:sz w:val="24"/>
                <w:szCs w:val="24"/>
              </w:rPr>
            </w:pPr>
            <w:r w:rsidRPr="00F80BE0">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80BE0" w:rsidRPr="00F80BE0" w:rsidRDefault="00F80BE0" w:rsidP="00F80BE0">
            <w:pPr>
              <w:numPr>
                <w:ilvl w:val="1"/>
                <w:numId w:val="42"/>
              </w:numPr>
              <w:rPr>
                <w:rFonts w:eastAsia="Calibri"/>
                <w:sz w:val="24"/>
                <w:szCs w:val="24"/>
              </w:rPr>
            </w:pPr>
            <w:r w:rsidRPr="00F80BE0">
              <w:rPr>
                <w:rFonts w:eastAsia="Calibri"/>
                <w:sz w:val="24"/>
                <w:szCs w:val="24"/>
              </w:rPr>
              <w:t xml:space="preserve">Во всем остальном, что не предусмотрено настоящим договором, СТОРОНЫ </w:t>
            </w:r>
            <w:r w:rsidRPr="00F80BE0">
              <w:rPr>
                <w:rFonts w:eastAsia="Calibri"/>
                <w:spacing w:val="2"/>
                <w:sz w:val="24"/>
                <w:szCs w:val="24"/>
              </w:rPr>
              <w:t xml:space="preserve">несут ответственность за неисполнение и ненадлежащее исполнение обязательств в </w:t>
            </w:r>
            <w:r w:rsidRPr="00F80BE0">
              <w:rPr>
                <w:rFonts w:eastAsia="Calibri"/>
                <w:spacing w:val="-2"/>
                <w:sz w:val="24"/>
                <w:szCs w:val="24"/>
              </w:rPr>
              <w:t>соответствии с действующим законодательством РФ.</w:t>
            </w:r>
          </w:p>
          <w:p w:rsidR="00F80BE0" w:rsidRPr="00F80BE0" w:rsidRDefault="00F80BE0" w:rsidP="00F80BE0">
            <w:pPr>
              <w:ind w:firstLine="567"/>
              <w:rPr>
                <w:rFonts w:eastAsia="Calibri"/>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Обстоятельство непреодолимой силы</w:t>
            </w:r>
          </w:p>
          <w:p w:rsidR="00F80BE0" w:rsidRPr="00F80BE0" w:rsidRDefault="00F80BE0" w:rsidP="00F80BE0">
            <w:pPr>
              <w:ind w:firstLine="567"/>
              <w:rPr>
                <w:rFonts w:eastAsia="Calibri"/>
                <w:sz w:val="24"/>
                <w:szCs w:val="24"/>
              </w:rPr>
            </w:pPr>
            <w:r w:rsidRPr="00F80BE0">
              <w:rPr>
                <w:rFonts w:eastAsia="Calibri"/>
                <w:sz w:val="24"/>
                <w:szCs w:val="24"/>
              </w:rPr>
              <w:t>6.1. Стороны не несут ответственность за полное или частичное неисполнение предусмотренных Договором обязательств, если такое неисполнение является, в соответствии с действующим законодательством, следствием обстоятельств непреодолимой силы.</w:t>
            </w:r>
          </w:p>
          <w:p w:rsidR="00F80BE0" w:rsidRPr="00F80BE0" w:rsidRDefault="00F80BE0" w:rsidP="00F80BE0">
            <w:pPr>
              <w:ind w:firstLine="567"/>
              <w:rPr>
                <w:rFonts w:eastAsia="Calibri"/>
                <w:sz w:val="24"/>
                <w:szCs w:val="24"/>
              </w:rPr>
            </w:pPr>
            <w:r w:rsidRPr="00F80BE0">
              <w:rPr>
                <w:rFonts w:eastAsia="Calibri"/>
                <w:sz w:val="24"/>
                <w:szCs w:val="24"/>
              </w:rPr>
              <w:lastRenderedPageBreak/>
              <w:t>6.2. Сторона, которая не смогла исполнить договорные обязательства в силу форс-мажорных обстоятельств, в срок не более 10 дней с момента их наступления письменно извещает другую сторону, прилагая документы, удостоверяющие факт наступления указанных обстоятельств.</w:t>
            </w:r>
          </w:p>
          <w:p w:rsidR="00F80BE0" w:rsidRPr="00F80BE0" w:rsidRDefault="00F80BE0" w:rsidP="00F80BE0">
            <w:pPr>
              <w:ind w:firstLine="567"/>
              <w:rPr>
                <w:rFonts w:eastAsia="Calibri"/>
                <w:sz w:val="24"/>
                <w:szCs w:val="24"/>
              </w:rPr>
            </w:pPr>
            <w:r w:rsidRPr="00F80BE0">
              <w:rPr>
                <w:rFonts w:eastAsia="Calibri"/>
                <w:sz w:val="24"/>
                <w:szCs w:val="24"/>
              </w:rPr>
              <w:t>6.3. Стороны освобождаются от ответственности за неисполнение обязательств в случае действия обстоятельств непреодолимой силы при условии, что данные обстоятельства непосредственно повлияли на выполнение условий по настоящему Договору. В этом случае срок выполнения договорных обязательств будет продлен на время действия этих обстоятельств, но не более двух месяцев.</w:t>
            </w:r>
          </w:p>
          <w:p w:rsidR="00F80BE0" w:rsidRPr="00F80BE0" w:rsidRDefault="00F80BE0" w:rsidP="00F80BE0">
            <w:pPr>
              <w:ind w:firstLine="567"/>
              <w:rPr>
                <w:rFonts w:eastAsia="Calibri"/>
                <w:sz w:val="24"/>
                <w:szCs w:val="24"/>
              </w:rPr>
            </w:pPr>
            <w:r w:rsidRPr="00F80BE0">
              <w:rPr>
                <w:rFonts w:eastAsia="Calibri"/>
                <w:sz w:val="24"/>
                <w:szCs w:val="24"/>
              </w:rPr>
              <w:t>6.4.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течении 3 (трёх)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80BE0" w:rsidRPr="00F80BE0" w:rsidRDefault="00F80BE0" w:rsidP="00F80BE0">
            <w:pPr>
              <w:ind w:firstLine="567"/>
              <w:rPr>
                <w:rFonts w:eastAsia="Calibri"/>
                <w:sz w:val="24"/>
                <w:szCs w:val="24"/>
              </w:rPr>
            </w:pPr>
            <w:r w:rsidRPr="00F80BE0">
              <w:rPr>
                <w:rFonts w:eastAsia="Calibri"/>
                <w:sz w:val="24"/>
                <w:szCs w:val="24"/>
              </w:rPr>
              <w:t>6.5.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исполнения настоящего Договора в срок.</w:t>
            </w:r>
          </w:p>
          <w:p w:rsidR="00F80BE0" w:rsidRPr="00F80BE0" w:rsidRDefault="00F80BE0" w:rsidP="00F80BE0">
            <w:pPr>
              <w:ind w:firstLine="567"/>
              <w:rPr>
                <w:rFonts w:eastAsia="Calibri"/>
                <w:b/>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b/>
                <w:sz w:val="24"/>
                <w:szCs w:val="24"/>
              </w:rPr>
              <w:t>7. Порядок урегулирования споров</w:t>
            </w:r>
          </w:p>
          <w:p w:rsidR="00F80BE0" w:rsidRPr="00F80BE0" w:rsidRDefault="00F80BE0" w:rsidP="00F80BE0">
            <w:pPr>
              <w:ind w:firstLine="567"/>
              <w:rPr>
                <w:rFonts w:eastAsia="Calibri"/>
                <w:sz w:val="24"/>
                <w:szCs w:val="24"/>
              </w:rPr>
            </w:pPr>
            <w:r w:rsidRPr="00F80BE0">
              <w:rPr>
                <w:rFonts w:eastAsia="Calibri"/>
                <w:sz w:val="24"/>
                <w:szCs w:val="24"/>
              </w:rPr>
              <w:t>7.1.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скрепленными печатями.</w:t>
            </w:r>
          </w:p>
          <w:p w:rsidR="00F80BE0" w:rsidRPr="00F80BE0" w:rsidRDefault="00F80BE0" w:rsidP="00F80BE0">
            <w:pPr>
              <w:ind w:firstLine="567"/>
              <w:rPr>
                <w:rFonts w:eastAsia="Calibri"/>
                <w:sz w:val="24"/>
                <w:szCs w:val="24"/>
              </w:rPr>
            </w:pPr>
            <w:r w:rsidRPr="00F80BE0">
              <w:rPr>
                <w:rFonts w:eastAsia="Calibri"/>
                <w:sz w:val="24"/>
                <w:szCs w:val="24"/>
              </w:rPr>
              <w:t>7.2. В случае не достижения взаимного согласия, споры по настоящему Договору разрешаются в Арбитражном суде.</w:t>
            </w:r>
          </w:p>
          <w:p w:rsidR="00F80BE0" w:rsidRPr="00F80BE0" w:rsidRDefault="00F80BE0" w:rsidP="00F80BE0">
            <w:pPr>
              <w:ind w:firstLine="567"/>
              <w:rPr>
                <w:rFonts w:eastAsia="Calibri"/>
                <w:sz w:val="24"/>
                <w:szCs w:val="24"/>
              </w:rPr>
            </w:pPr>
            <w:r w:rsidRPr="00F80BE0">
              <w:rPr>
                <w:rFonts w:eastAsia="Calibri"/>
                <w:sz w:val="24"/>
                <w:szCs w:val="24"/>
              </w:rPr>
              <w:t>7.3.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w:t>
            </w:r>
          </w:p>
          <w:p w:rsidR="00F80BE0" w:rsidRPr="00F80BE0" w:rsidRDefault="00F80BE0" w:rsidP="00F80BE0">
            <w:pPr>
              <w:ind w:firstLine="567"/>
              <w:rPr>
                <w:rFonts w:eastAsia="Calibri"/>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Порядок расторжения договора</w:t>
            </w:r>
          </w:p>
          <w:p w:rsidR="00F80BE0" w:rsidRPr="00F80BE0" w:rsidRDefault="00F80BE0" w:rsidP="00F80BE0">
            <w:pPr>
              <w:ind w:firstLine="567"/>
              <w:rPr>
                <w:rFonts w:eastAsia="Calibri"/>
                <w:sz w:val="24"/>
                <w:szCs w:val="24"/>
              </w:rPr>
            </w:pPr>
            <w:r w:rsidRPr="00F80BE0">
              <w:rPr>
                <w:rFonts w:eastAsia="Calibri"/>
                <w:sz w:val="24"/>
                <w:szCs w:val="24"/>
              </w:rPr>
              <w:t>8.1. Досрочное расторжение Договора может иметь место по соглашению Сторон с возмещением понесенных убытков либо по решению суда по основаниям, предусмотренным п. 1-4 ст. 1237 ГК РФ.</w:t>
            </w:r>
          </w:p>
          <w:p w:rsidR="00F80BE0" w:rsidRPr="00F80BE0" w:rsidRDefault="00F80BE0" w:rsidP="00F80BE0">
            <w:pPr>
              <w:ind w:firstLine="567"/>
              <w:rPr>
                <w:rFonts w:eastAsia="Calibri"/>
                <w:sz w:val="24"/>
                <w:szCs w:val="24"/>
              </w:rPr>
            </w:pPr>
            <w:r w:rsidRPr="00F80BE0">
              <w:rPr>
                <w:rFonts w:eastAsia="Calibri"/>
                <w:sz w:val="24"/>
                <w:szCs w:val="24"/>
              </w:rPr>
              <w:t>8.2. Сторона, решившая расторгнуть настоящий Договор, в пятидневный срок направляет письмо уведомление другой Стороне.</w:t>
            </w:r>
          </w:p>
          <w:p w:rsidR="00F80BE0" w:rsidRPr="00F80BE0" w:rsidRDefault="00F80BE0" w:rsidP="00F80BE0">
            <w:pPr>
              <w:ind w:firstLine="567"/>
              <w:rPr>
                <w:rFonts w:eastAsia="Calibri"/>
                <w:sz w:val="24"/>
                <w:szCs w:val="24"/>
              </w:rPr>
            </w:pPr>
            <w:r w:rsidRPr="00F80BE0">
              <w:rPr>
                <w:rFonts w:eastAsia="Calibri"/>
                <w:sz w:val="24"/>
                <w:szCs w:val="24"/>
              </w:rPr>
              <w:t>8.3. Договор считается расторгнутым с момента подписания Сторонами соглашения о расторжении, при условии урегулирования материальных и финансовых претензий по выполненным до момента расторжения Договора обязательствам или вступления в законную силу вынесенного в установленном порядке решения суда.</w:t>
            </w:r>
          </w:p>
          <w:p w:rsidR="00F80BE0" w:rsidRPr="00F80BE0" w:rsidRDefault="00F80BE0" w:rsidP="00F80BE0">
            <w:pPr>
              <w:ind w:firstLine="567"/>
              <w:rPr>
                <w:rFonts w:eastAsia="Calibri"/>
                <w:sz w:val="24"/>
                <w:szCs w:val="24"/>
              </w:rPr>
            </w:pPr>
            <w:r w:rsidRPr="00F80BE0">
              <w:rPr>
                <w:rFonts w:eastAsia="Calibri"/>
                <w:sz w:val="24"/>
                <w:szCs w:val="24"/>
              </w:rPr>
              <w:tab/>
            </w:r>
            <w:r w:rsidRPr="00F80BE0">
              <w:rPr>
                <w:rFonts w:eastAsia="Calibri"/>
                <w:sz w:val="24"/>
                <w:szCs w:val="24"/>
              </w:rPr>
              <w:tab/>
            </w:r>
            <w:r w:rsidRPr="00F80BE0">
              <w:rPr>
                <w:rFonts w:eastAsia="Calibri"/>
                <w:sz w:val="24"/>
                <w:szCs w:val="24"/>
              </w:rPr>
              <w:tab/>
            </w:r>
            <w:r w:rsidRPr="00F80BE0">
              <w:rPr>
                <w:rFonts w:eastAsia="Calibri"/>
                <w:sz w:val="24"/>
                <w:szCs w:val="24"/>
              </w:rPr>
              <w:tab/>
            </w:r>
          </w:p>
          <w:p w:rsidR="00F80BE0" w:rsidRPr="00F80BE0" w:rsidRDefault="00F80BE0" w:rsidP="00F80BE0">
            <w:pPr>
              <w:numPr>
                <w:ilvl w:val="0"/>
                <w:numId w:val="42"/>
              </w:numPr>
              <w:spacing w:before="0" w:line="276" w:lineRule="auto"/>
              <w:contextualSpacing/>
              <w:jc w:val="center"/>
              <w:rPr>
                <w:rFonts w:eastAsia="Calibri"/>
                <w:b/>
                <w:sz w:val="24"/>
                <w:szCs w:val="24"/>
              </w:rPr>
            </w:pPr>
            <w:r w:rsidRPr="00F80BE0">
              <w:rPr>
                <w:rFonts w:eastAsia="Calibri"/>
                <w:b/>
                <w:sz w:val="24"/>
                <w:szCs w:val="24"/>
              </w:rPr>
              <w:t>Прочие условия</w:t>
            </w:r>
          </w:p>
          <w:p w:rsidR="00F80BE0" w:rsidRPr="00F80BE0" w:rsidRDefault="00F80BE0" w:rsidP="00F80BE0">
            <w:pPr>
              <w:ind w:firstLine="567"/>
              <w:rPr>
                <w:rFonts w:eastAsia="Calibri"/>
                <w:sz w:val="24"/>
                <w:szCs w:val="24"/>
              </w:rPr>
            </w:pPr>
            <w:r w:rsidRPr="00F80BE0">
              <w:rPr>
                <w:rFonts w:eastAsia="Calibri"/>
                <w:sz w:val="24"/>
                <w:szCs w:val="24"/>
              </w:rPr>
              <w:t>9.1. Все изменения и дополнения к настоящему Договору составляются в письменной форме, подписываются Сторонами и являются неотъемлемой частью Договора.</w:t>
            </w:r>
          </w:p>
          <w:p w:rsidR="00F80BE0" w:rsidRPr="00F80BE0" w:rsidRDefault="00F80BE0" w:rsidP="00F80BE0">
            <w:pPr>
              <w:ind w:firstLine="567"/>
              <w:rPr>
                <w:rFonts w:eastAsia="Calibri"/>
                <w:sz w:val="24"/>
                <w:szCs w:val="24"/>
              </w:rPr>
            </w:pPr>
            <w:r w:rsidRPr="00F80BE0">
              <w:rPr>
                <w:rFonts w:eastAsia="Calibri"/>
                <w:sz w:val="24"/>
                <w:szCs w:val="24"/>
              </w:rPr>
              <w:t>9.2. Настоящий Договор составлен в двух экземплярах, имеющих одинаковую юридическую силу, по одному для каждой из Сторон.</w:t>
            </w:r>
          </w:p>
          <w:p w:rsidR="00F80BE0" w:rsidRPr="00F80BE0" w:rsidRDefault="00F80BE0" w:rsidP="00F80BE0">
            <w:pPr>
              <w:widowControl w:val="0"/>
              <w:shd w:val="clear" w:color="auto" w:fill="FFFFFF"/>
              <w:autoSpaceDE w:val="0"/>
              <w:autoSpaceDN w:val="0"/>
              <w:adjustRightInd w:val="0"/>
              <w:spacing w:before="0"/>
              <w:ind w:left="284" w:right="29" w:firstLine="283"/>
              <w:rPr>
                <w:rFonts w:eastAsia="Calibri"/>
                <w:b/>
                <w:bCs/>
                <w:spacing w:val="-2"/>
                <w:sz w:val="24"/>
                <w:szCs w:val="24"/>
              </w:rPr>
            </w:pPr>
            <w:r w:rsidRPr="00F80BE0">
              <w:rPr>
                <w:rFonts w:eastAsia="Calibri"/>
                <w:sz w:val="24"/>
                <w:szCs w:val="24"/>
              </w:rPr>
              <w:lastRenderedPageBreak/>
              <w:t>9.3. Срок действия настоящего Договора до "31" декабря 20</w:t>
            </w:r>
            <w:r>
              <w:rPr>
                <w:rFonts w:eastAsia="Calibri"/>
                <w:sz w:val="24"/>
                <w:szCs w:val="24"/>
              </w:rPr>
              <w:t>21</w:t>
            </w:r>
            <w:r w:rsidRPr="00F80BE0">
              <w:rPr>
                <w:rFonts w:eastAsia="Calibri"/>
                <w:sz w:val="24"/>
                <w:szCs w:val="24"/>
              </w:rPr>
              <w:t xml:space="preserve"> года.</w:t>
            </w:r>
          </w:p>
          <w:p w:rsidR="00F80BE0" w:rsidRPr="00F80BE0" w:rsidRDefault="00F80BE0" w:rsidP="00F80BE0">
            <w:pPr>
              <w:shd w:val="clear" w:color="auto" w:fill="FFFFFF"/>
              <w:ind w:left="284" w:right="29"/>
              <w:rPr>
                <w:rFonts w:eastAsia="Calibri"/>
                <w:b/>
                <w:bCs/>
                <w:spacing w:val="-2"/>
                <w:sz w:val="24"/>
                <w:szCs w:val="24"/>
              </w:rPr>
            </w:pPr>
          </w:p>
          <w:p w:rsidR="00F80BE0" w:rsidRPr="00F80BE0" w:rsidRDefault="00F80BE0" w:rsidP="00F80BE0">
            <w:pPr>
              <w:widowControl w:val="0"/>
              <w:numPr>
                <w:ilvl w:val="0"/>
                <w:numId w:val="42"/>
              </w:numPr>
              <w:shd w:val="clear" w:color="auto" w:fill="FFFFFF"/>
              <w:autoSpaceDE w:val="0"/>
              <w:autoSpaceDN w:val="0"/>
              <w:adjustRightInd w:val="0"/>
              <w:spacing w:before="0"/>
              <w:ind w:right="29"/>
              <w:jc w:val="center"/>
              <w:rPr>
                <w:rFonts w:eastAsia="Calibri"/>
                <w:b/>
                <w:bCs/>
                <w:spacing w:val="-2"/>
                <w:sz w:val="24"/>
                <w:szCs w:val="24"/>
              </w:rPr>
            </w:pPr>
            <w:r w:rsidRPr="00F80BE0">
              <w:rPr>
                <w:rFonts w:eastAsia="Calibri"/>
                <w:b/>
                <w:sz w:val="24"/>
                <w:szCs w:val="24"/>
              </w:rPr>
              <w:t>Список приложений к договору</w:t>
            </w:r>
          </w:p>
          <w:p w:rsidR="00F80BE0" w:rsidRPr="00F80BE0" w:rsidRDefault="00F80BE0" w:rsidP="00F80BE0">
            <w:pPr>
              <w:shd w:val="clear" w:color="auto" w:fill="FFFFFF"/>
              <w:ind w:left="720" w:right="29"/>
              <w:rPr>
                <w:rFonts w:eastAsia="Calibri"/>
                <w:b/>
                <w:bCs/>
                <w:spacing w:val="-2"/>
                <w:sz w:val="24"/>
                <w:szCs w:val="24"/>
              </w:rPr>
            </w:pPr>
          </w:p>
          <w:p w:rsidR="00F80BE0" w:rsidRPr="00F80BE0" w:rsidRDefault="00F80BE0" w:rsidP="00F80BE0">
            <w:pPr>
              <w:widowControl w:val="0"/>
              <w:numPr>
                <w:ilvl w:val="1"/>
                <w:numId w:val="42"/>
              </w:numPr>
              <w:shd w:val="clear" w:color="auto" w:fill="FFFFFF"/>
              <w:autoSpaceDE w:val="0"/>
              <w:autoSpaceDN w:val="0"/>
              <w:adjustRightInd w:val="0"/>
              <w:spacing w:before="0"/>
              <w:ind w:right="29"/>
              <w:rPr>
                <w:rFonts w:eastAsia="Calibri"/>
                <w:bCs/>
                <w:spacing w:val="-2"/>
                <w:sz w:val="24"/>
                <w:szCs w:val="24"/>
              </w:rPr>
            </w:pPr>
            <w:r w:rsidRPr="00F80BE0">
              <w:rPr>
                <w:rFonts w:eastAsia="Calibri"/>
                <w:sz w:val="24"/>
                <w:szCs w:val="24"/>
              </w:rPr>
              <w:t xml:space="preserve"> Приложение № 1 – «Спецификация».</w:t>
            </w:r>
          </w:p>
          <w:p w:rsidR="00F80BE0" w:rsidRPr="00F80BE0" w:rsidRDefault="00F80BE0" w:rsidP="00F80BE0">
            <w:pPr>
              <w:shd w:val="clear" w:color="auto" w:fill="FFFFFF"/>
              <w:ind w:left="284" w:right="29"/>
              <w:rPr>
                <w:rFonts w:eastAsia="Calibri"/>
                <w:b/>
                <w:bCs/>
                <w:color w:val="000000"/>
                <w:spacing w:val="-2"/>
                <w:sz w:val="24"/>
                <w:szCs w:val="24"/>
              </w:rPr>
            </w:pPr>
          </w:p>
          <w:p w:rsidR="00F80BE0" w:rsidRPr="00F80BE0" w:rsidRDefault="00F80BE0" w:rsidP="00F80BE0">
            <w:pPr>
              <w:widowControl w:val="0"/>
              <w:numPr>
                <w:ilvl w:val="0"/>
                <w:numId w:val="42"/>
              </w:numPr>
              <w:shd w:val="clear" w:color="auto" w:fill="FFFFFF"/>
              <w:autoSpaceDE w:val="0"/>
              <w:autoSpaceDN w:val="0"/>
              <w:adjustRightInd w:val="0"/>
              <w:spacing w:before="0"/>
              <w:ind w:right="29"/>
              <w:jc w:val="center"/>
              <w:rPr>
                <w:rFonts w:eastAsia="Calibri"/>
                <w:b/>
                <w:bCs/>
                <w:color w:val="000000"/>
                <w:spacing w:val="-2"/>
                <w:sz w:val="24"/>
                <w:szCs w:val="24"/>
              </w:rPr>
            </w:pPr>
            <w:r w:rsidRPr="00F80BE0">
              <w:rPr>
                <w:rFonts w:eastAsia="Calibri"/>
                <w:b/>
                <w:bCs/>
                <w:color w:val="252525"/>
                <w:spacing w:val="-1"/>
                <w:sz w:val="24"/>
                <w:szCs w:val="24"/>
              </w:rPr>
              <w:t>Адреса и платежные реквизиты сторон</w:t>
            </w:r>
          </w:p>
          <w:p w:rsidR="00F80BE0" w:rsidRPr="00F80BE0" w:rsidRDefault="00F80BE0" w:rsidP="00F80BE0">
            <w:pPr>
              <w:shd w:val="clear" w:color="auto" w:fill="FFFFFF"/>
              <w:ind w:left="720" w:right="29"/>
              <w:rPr>
                <w:rFonts w:eastAsia="Calibri"/>
                <w:b/>
                <w:bCs/>
                <w:color w:val="000000"/>
                <w:spacing w:val="-2"/>
                <w:sz w:val="24"/>
                <w:szCs w:val="24"/>
              </w:rPr>
            </w:pPr>
          </w:p>
          <w:tbl>
            <w:tblPr>
              <w:tblW w:w="9398" w:type="dxa"/>
              <w:tblLook w:val="04A0" w:firstRow="1" w:lastRow="0" w:firstColumn="1" w:lastColumn="0" w:noHBand="0" w:noVBand="1"/>
            </w:tblPr>
            <w:tblGrid>
              <w:gridCol w:w="4995"/>
              <w:gridCol w:w="4403"/>
            </w:tblGrid>
            <w:tr w:rsidR="00F80BE0" w:rsidRPr="00F80BE0" w:rsidTr="00E52755">
              <w:tc>
                <w:tcPr>
                  <w:tcW w:w="4995" w:type="dxa"/>
                  <w:shd w:val="clear" w:color="auto" w:fill="auto"/>
                </w:tcPr>
                <w:p w:rsidR="00F80BE0" w:rsidRPr="00F80BE0" w:rsidRDefault="00F80BE0" w:rsidP="00F80BE0">
                  <w:pPr>
                    <w:shd w:val="clear" w:color="auto" w:fill="FFFFFF"/>
                    <w:spacing w:before="0" w:line="276" w:lineRule="auto"/>
                    <w:ind w:left="2"/>
                    <w:rPr>
                      <w:rFonts w:eastAsia="Calibri"/>
                      <w:b/>
                      <w:bCs/>
                      <w:color w:val="252525"/>
                      <w:spacing w:val="-7"/>
                      <w:sz w:val="22"/>
                      <w:szCs w:val="24"/>
                    </w:rPr>
                  </w:pPr>
                  <w:r w:rsidRPr="00F80BE0">
                    <w:rPr>
                      <w:rFonts w:eastAsia="Calibri"/>
                      <w:b/>
                      <w:bCs/>
                      <w:color w:val="252525"/>
                      <w:spacing w:val="-3"/>
                      <w:sz w:val="22"/>
                      <w:szCs w:val="24"/>
                    </w:rPr>
                    <w:t>Сублицензиат:</w:t>
                  </w:r>
                  <w:r w:rsidRPr="00F80BE0">
                    <w:rPr>
                      <w:rFonts w:eastAsia="Calibri"/>
                      <w:b/>
                      <w:bCs/>
                      <w:color w:val="252525"/>
                      <w:spacing w:val="-7"/>
                      <w:sz w:val="22"/>
                      <w:szCs w:val="24"/>
                    </w:rPr>
                    <w:t xml:space="preserve"> </w:t>
                  </w:r>
                </w:p>
                <w:p w:rsidR="00F80BE0" w:rsidRPr="00F80BE0" w:rsidRDefault="00F80BE0" w:rsidP="00F80BE0">
                  <w:pPr>
                    <w:shd w:val="clear" w:color="auto" w:fill="FFFFFF"/>
                    <w:spacing w:before="0" w:line="276" w:lineRule="auto"/>
                    <w:ind w:left="2"/>
                    <w:rPr>
                      <w:rFonts w:eastAsia="Calibri"/>
                      <w:b/>
                      <w:bCs/>
                      <w:color w:val="252525"/>
                      <w:spacing w:val="-7"/>
                      <w:sz w:val="22"/>
                      <w:szCs w:val="24"/>
                    </w:rPr>
                  </w:pPr>
                </w:p>
                <w:p w:rsidR="00F80BE0" w:rsidRPr="00F80BE0" w:rsidRDefault="00F80BE0" w:rsidP="00F80BE0">
                  <w:pPr>
                    <w:keepNext/>
                    <w:suppressAutoHyphens/>
                    <w:spacing w:before="0" w:line="276" w:lineRule="auto"/>
                    <w:rPr>
                      <w:rFonts w:eastAsia="Calibri"/>
                      <w:b/>
                      <w:sz w:val="22"/>
                      <w:szCs w:val="24"/>
                      <w:lang w:eastAsia="ar-SA"/>
                    </w:rPr>
                  </w:pPr>
                  <w:r w:rsidRPr="00F80BE0">
                    <w:rPr>
                      <w:rFonts w:eastAsia="Calibri"/>
                      <w:b/>
                      <w:bCs/>
                      <w:sz w:val="22"/>
                      <w:szCs w:val="24"/>
                    </w:rPr>
                    <w:t>АН ДОО «Алмазик»</w:t>
                  </w:r>
                  <w:r w:rsidRPr="00F80BE0">
                    <w:rPr>
                      <w:rFonts w:eastAsia="Calibri"/>
                      <w:b/>
                      <w:sz w:val="22"/>
                      <w:szCs w:val="24"/>
                      <w:lang w:eastAsia="ar-SA"/>
                    </w:rPr>
                    <w:t xml:space="preserve">    </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Юридический и почтовый адрес: РС (Я), 678170, г. Мирный, ул. Ленина, д. 14 «А»</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Телефон / Факс: 841136-4-25-27</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Расчетный счет № 40703810476030000071</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 xml:space="preserve">Якутское отделение № 8603 Байкальского банка ПАО «Сбербанк России» г. Якутск  </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кор/счет 30101810400000000609</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БИК  049805609, ИНН 1433025906</w:t>
                  </w:r>
                </w:p>
                <w:p w:rsidR="00F80BE0" w:rsidRPr="00F80BE0" w:rsidRDefault="00F80BE0" w:rsidP="00F80BE0">
                  <w:pPr>
                    <w:overflowPunct w:val="0"/>
                    <w:spacing w:before="0" w:line="276" w:lineRule="auto"/>
                    <w:jc w:val="left"/>
                    <w:textAlignment w:val="baseline"/>
                    <w:rPr>
                      <w:rFonts w:eastAsia="Calibri"/>
                      <w:sz w:val="22"/>
                      <w:szCs w:val="24"/>
                    </w:rPr>
                  </w:pPr>
                  <w:r w:rsidRPr="00F80BE0">
                    <w:rPr>
                      <w:rFonts w:eastAsia="Calibri"/>
                      <w:sz w:val="22"/>
                      <w:szCs w:val="24"/>
                    </w:rPr>
                    <w:t>КПП 143301001</w:t>
                  </w:r>
                </w:p>
                <w:p w:rsidR="00F80BE0" w:rsidRPr="00F80BE0" w:rsidRDefault="00F80BE0" w:rsidP="00F80BE0">
                  <w:pPr>
                    <w:spacing w:before="0" w:line="276" w:lineRule="auto"/>
                    <w:rPr>
                      <w:rFonts w:eastAsia="Calibri"/>
                      <w:b/>
                      <w:bCs/>
                      <w:color w:val="252525"/>
                      <w:spacing w:val="-1"/>
                      <w:sz w:val="22"/>
                      <w:szCs w:val="24"/>
                    </w:rPr>
                  </w:pPr>
                </w:p>
              </w:tc>
              <w:tc>
                <w:tcPr>
                  <w:tcW w:w="4403" w:type="dxa"/>
                  <w:shd w:val="clear" w:color="auto" w:fill="auto"/>
                </w:tcPr>
                <w:p w:rsidR="00F80BE0" w:rsidRPr="00F80BE0" w:rsidRDefault="00F80BE0" w:rsidP="00F80BE0">
                  <w:pPr>
                    <w:spacing w:before="0" w:line="276" w:lineRule="auto"/>
                    <w:rPr>
                      <w:rFonts w:eastAsia="Calibri"/>
                      <w:b/>
                      <w:sz w:val="22"/>
                      <w:szCs w:val="24"/>
                    </w:rPr>
                  </w:pPr>
                  <w:r w:rsidRPr="00F80BE0">
                    <w:rPr>
                      <w:rFonts w:eastAsia="Calibri"/>
                      <w:b/>
                      <w:sz w:val="22"/>
                      <w:szCs w:val="24"/>
                    </w:rPr>
                    <w:t>Лицензиат:</w:t>
                  </w:r>
                </w:p>
                <w:p w:rsidR="00F80BE0" w:rsidRPr="00F80BE0" w:rsidRDefault="00F80BE0" w:rsidP="00F80BE0">
                  <w:pPr>
                    <w:spacing w:before="0" w:line="276" w:lineRule="auto"/>
                    <w:rPr>
                      <w:rFonts w:eastAsia="Calibri"/>
                      <w:sz w:val="22"/>
                      <w:szCs w:val="24"/>
                    </w:rPr>
                  </w:pPr>
                </w:p>
                <w:p w:rsidR="00F80BE0" w:rsidRPr="00F80BE0" w:rsidRDefault="00F80BE0" w:rsidP="00F80BE0">
                  <w:pPr>
                    <w:spacing w:before="0" w:line="276" w:lineRule="auto"/>
                    <w:rPr>
                      <w:rFonts w:eastAsia="Calibri"/>
                      <w:sz w:val="22"/>
                      <w:szCs w:val="24"/>
                    </w:rPr>
                  </w:pPr>
                </w:p>
              </w:tc>
            </w:tr>
          </w:tbl>
          <w:p w:rsidR="00F80BE0" w:rsidRPr="00F80BE0" w:rsidRDefault="00F80BE0" w:rsidP="00F80BE0">
            <w:pPr>
              <w:rPr>
                <w:rFonts w:eastAsia="Calibri"/>
              </w:rPr>
            </w:pPr>
          </w:p>
          <w:tbl>
            <w:tblPr>
              <w:tblpPr w:leftFromText="180" w:rightFromText="180" w:vertAnchor="text" w:tblpY="1"/>
              <w:tblOverlap w:val="never"/>
              <w:tblW w:w="9923" w:type="dxa"/>
              <w:tblLook w:val="04A0" w:firstRow="1" w:lastRow="0" w:firstColumn="1" w:lastColumn="0" w:noHBand="0" w:noVBand="1"/>
            </w:tblPr>
            <w:tblGrid>
              <w:gridCol w:w="4962"/>
              <w:gridCol w:w="4961"/>
            </w:tblGrid>
            <w:tr w:rsidR="00F80BE0" w:rsidRPr="00F80BE0" w:rsidTr="00E52755">
              <w:trPr>
                <w:trHeight w:val="3119"/>
              </w:trPr>
              <w:tc>
                <w:tcPr>
                  <w:tcW w:w="4962" w:type="dxa"/>
                  <w:shd w:val="clear" w:color="auto" w:fill="auto"/>
                </w:tcPr>
                <w:p w:rsidR="00F80BE0" w:rsidRPr="00F80BE0" w:rsidRDefault="00F80BE0" w:rsidP="00F80BE0">
                  <w:pPr>
                    <w:rPr>
                      <w:rFonts w:eastAsia="Calibri"/>
                      <w:b/>
                      <w:i/>
                      <w:iCs/>
                      <w:smallCaps/>
                      <w:color w:val="FF0000"/>
                      <w:sz w:val="24"/>
                      <w:szCs w:val="24"/>
                    </w:rPr>
                  </w:pPr>
                  <w:r w:rsidRPr="00F80BE0">
                    <w:rPr>
                      <w:rFonts w:eastAsia="Calibri"/>
                      <w:b/>
                      <w:sz w:val="24"/>
                      <w:szCs w:val="24"/>
                    </w:rPr>
                    <w:t xml:space="preserve">Сублицензиат:                                                             </w:t>
                  </w:r>
                </w:p>
                <w:p w:rsidR="00F80BE0" w:rsidRPr="00F80BE0" w:rsidRDefault="00F80BE0" w:rsidP="00F80BE0">
                  <w:pPr>
                    <w:rPr>
                      <w:rFonts w:eastAsia="Calibri"/>
                      <w:b/>
                      <w:iCs/>
                      <w:smallCaps/>
                      <w:color w:val="FF0000"/>
                      <w:sz w:val="24"/>
                      <w:szCs w:val="24"/>
                    </w:rPr>
                  </w:pPr>
                </w:p>
                <w:p w:rsidR="00F80BE0" w:rsidRPr="00F80BE0" w:rsidRDefault="00F80BE0" w:rsidP="00F80BE0">
                  <w:pPr>
                    <w:overflowPunct w:val="0"/>
                    <w:autoSpaceDE w:val="0"/>
                    <w:autoSpaceDN w:val="0"/>
                    <w:adjustRightInd w:val="0"/>
                    <w:textAlignment w:val="baseline"/>
                    <w:rPr>
                      <w:rFonts w:eastAsia="Calibri"/>
                      <w:b/>
                      <w:sz w:val="24"/>
                      <w:szCs w:val="24"/>
                    </w:rPr>
                  </w:pPr>
                  <w:r w:rsidRPr="00F80BE0">
                    <w:rPr>
                      <w:rFonts w:eastAsia="Calibri"/>
                      <w:b/>
                      <w:sz w:val="24"/>
                      <w:szCs w:val="24"/>
                    </w:rPr>
                    <w:t xml:space="preserve">Исполнительный директор                                  </w:t>
                  </w:r>
                </w:p>
                <w:p w:rsidR="00F80BE0" w:rsidRPr="00F80BE0" w:rsidRDefault="00F80BE0" w:rsidP="00F80BE0">
                  <w:pPr>
                    <w:overflowPunct w:val="0"/>
                    <w:autoSpaceDE w:val="0"/>
                    <w:autoSpaceDN w:val="0"/>
                    <w:adjustRightInd w:val="0"/>
                    <w:textAlignment w:val="baseline"/>
                    <w:rPr>
                      <w:rFonts w:eastAsia="Calibri"/>
                      <w:b/>
                      <w:sz w:val="24"/>
                      <w:szCs w:val="24"/>
                    </w:rPr>
                  </w:pPr>
                  <w:r w:rsidRPr="00F80BE0">
                    <w:rPr>
                      <w:rFonts w:eastAsia="Calibri"/>
                      <w:b/>
                      <w:sz w:val="24"/>
                      <w:szCs w:val="24"/>
                    </w:rPr>
                    <w:t>АН ДОО «Алмазик»</w:t>
                  </w:r>
                </w:p>
                <w:p w:rsidR="00F80BE0" w:rsidRPr="00F80BE0" w:rsidRDefault="00F80BE0" w:rsidP="00F80BE0">
                  <w:pPr>
                    <w:overflowPunct w:val="0"/>
                    <w:autoSpaceDE w:val="0"/>
                    <w:autoSpaceDN w:val="0"/>
                    <w:adjustRightInd w:val="0"/>
                    <w:textAlignment w:val="baseline"/>
                    <w:rPr>
                      <w:rFonts w:eastAsia="Calibri"/>
                      <w:b/>
                      <w:sz w:val="24"/>
                      <w:szCs w:val="24"/>
                    </w:rPr>
                  </w:pPr>
                </w:p>
                <w:p w:rsidR="00F80BE0" w:rsidRPr="00F80BE0" w:rsidRDefault="00F80BE0" w:rsidP="00F80BE0">
                  <w:pPr>
                    <w:overflowPunct w:val="0"/>
                    <w:autoSpaceDE w:val="0"/>
                    <w:autoSpaceDN w:val="0"/>
                    <w:adjustRightInd w:val="0"/>
                    <w:textAlignment w:val="baseline"/>
                    <w:rPr>
                      <w:rFonts w:eastAsia="Calibri"/>
                      <w:b/>
                      <w:sz w:val="24"/>
                      <w:szCs w:val="24"/>
                    </w:rPr>
                  </w:pPr>
                </w:p>
                <w:p w:rsidR="00F80BE0" w:rsidRPr="00F80BE0" w:rsidRDefault="00F80BE0" w:rsidP="00F80BE0">
                  <w:pPr>
                    <w:overflowPunct w:val="0"/>
                    <w:autoSpaceDE w:val="0"/>
                    <w:autoSpaceDN w:val="0"/>
                    <w:adjustRightInd w:val="0"/>
                    <w:textAlignment w:val="baseline"/>
                    <w:rPr>
                      <w:rFonts w:eastAsia="Calibri"/>
                      <w:b/>
                      <w:sz w:val="24"/>
                      <w:szCs w:val="24"/>
                    </w:rPr>
                  </w:pPr>
                  <w:r w:rsidRPr="00F80BE0">
                    <w:rPr>
                      <w:rFonts w:eastAsia="Calibri"/>
                      <w:b/>
                      <w:sz w:val="24"/>
                      <w:szCs w:val="24"/>
                    </w:rPr>
                    <w:t xml:space="preserve">_____________ Е.Е. Балахонский </w:t>
                  </w:r>
                </w:p>
                <w:p w:rsidR="00F80BE0" w:rsidRPr="00F80BE0" w:rsidRDefault="00F80BE0" w:rsidP="00F80BE0">
                  <w:pPr>
                    <w:rPr>
                      <w:rFonts w:eastAsia="Calibri"/>
                      <w:b/>
                      <w:iCs/>
                      <w:smallCaps/>
                      <w:color w:val="FF0000"/>
                      <w:sz w:val="24"/>
                      <w:szCs w:val="24"/>
                    </w:rPr>
                  </w:pPr>
                  <w:r w:rsidRPr="00F80BE0">
                    <w:rPr>
                      <w:rFonts w:eastAsia="Calibri"/>
                      <w:sz w:val="16"/>
                      <w:szCs w:val="16"/>
                    </w:rPr>
                    <w:t>МП</w:t>
                  </w:r>
                </w:p>
              </w:tc>
              <w:tc>
                <w:tcPr>
                  <w:tcW w:w="4961" w:type="dxa"/>
                  <w:shd w:val="clear" w:color="auto" w:fill="auto"/>
                </w:tcPr>
                <w:p w:rsidR="00F80BE0" w:rsidRPr="00F80BE0" w:rsidRDefault="00F80BE0" w:rsidP="00F80BE0">
                  <w:pPr>
                    <w:keepNext/>
                    <w:autoSpaceDE w:val="0"/>
                    <w:autoSpaceDN w:val="0"/>
                    <w:outlineLvl w:val="0"/>
                    <w:rPr>
                      <w:rFonts w:eastAsia="Calibri"/>
                      <w:b/>
                      <w:sz w:val="24"/>
                      <w:szCs w:val="24"/>
                    </w:rPr>
                  </w:pPr>
                  <w:r w:rsidRPr="00F80BE0">
                    <w:rPr>
                      <w:rFonts w:eastAsia="Calibri"/>
                      <w:b/>
                      <w:sz w:val="24"/>
                      <w:szCs w:val="24"/>
                    </w:rPr>
                    <w:t>Лицензиат:</w:t>
                  </w:r>
                </w:p>
                <w:p w:rsidR="00F80BE0" w:rsidRPr="00F80BE0" w:rsidRDefault="00F80BE0" w:rsidP="00F80BE0">
                  <w:pPr>
                    <w:keepNext/>
                    <w:autoSpaceDE w:val="0"/>
                    <w:autoSpaceDN w:val="0"/>
                    <w:outlineLvl w:val="0"/>
                    <w:rPr>
                      <w:rFonts w:eastAsia="Calibri"/>
                      <w:b/>
                      <w:sz w:val="24"/>
                      <w:szCs w:val="24"/>
                    </w:rPr>
                  </w:pPr>
                </w:p>
                <w:p w:rsidR="00F80BE0" w:rsidRDefault="00F80BE0" w:rsidP="00F80BE0">
                  <w:pPr>
                    <w:keepNext/>
                    <w:autoSpaceDE w:val="0"/>
                    <w:autoSpaceDN w:val="0"/>
                    <w:outlineLvl w:val="0"/>
                    <w:rPr>
                      <w:rFonts w:eastAsia="Calibri"/>
                      <w:b/>
                      <w:sz w:val="24"/>
                      <w:szCs w:val="24"/>
                    </w:rPr>
                  </w:pPr>
                </w:p>
                <w:p w:rsidR="00F80BE0" w:rsidRDefault="00F80BE0" w:rsidP="00F80BE0">
                  <w:pPr>
                    <w:keepNext/>
                    <w:autoSpaceDE w:val="0"/>
                    <w:autoSpaceDN w:val="0"/>
                    <w:outlineLvl w:val="0"/>
                    <w:rPr>
                      <w:rFonts w:eastAsia="Calibri"/>
                      <w:b/>
                      <w:sz w:val="24"/>
                      <w:szCs w:val="24"/>
                    </w:rPr>
                  </w:pPr>
                </w:p>
                <w:p w:rsidR="00F80BE0" w:rsidRDefault="00F80BE0" w:rsidP="00F80BE0">
                  <w:pPr>
                    <w:keepNext/>
                    <w:autoSpaceDE w:val="0"/>
                    <w:autoSpaceDN w:val="0"/>
                    <w:outlineLvl w:val="0"/>
                    <w:rPr>
                      <w:rFonts w:eastAsia="Calibri"/>
                      <w:b/>
                      <w:sz w:val="24"/>
                      <w:szCs w:val="24"/>
                    </w:rPr>
                  </w:pPr>
                </w:p>
                <w:p w:rsidR="00F80BE0" w:rsidRPr="00F80BE0" w:rsidRDefault="00F80BE0" w:rsidP="00F80BE0">
                  <w:pPr>
                    <w:keepNext/>
                    <w:autoSpaceDE w:val="0"/>
                    <w:autoSpaceDN w:val="0"/>
                    <w:outlineLvl w:val="0"/>
                    <w:rPr>
                      <w:rFonts w:eastAsia="Calibri"/>
                      <w:b/>
                      <w:sz w:val="24"/>
                      <w:szCs w:val="24"/>
                    </w:rPr>
                  </w:pPr>
                </w:p>
                <w:p w:rsidR="00F80BE0" w:rsidRPr="00F80BE0" w:rsidRDefault="00F80BE0" w:rsidP="00F80BE0">
                  <w:pPr>
                    <w:overflowPunct w:val="0"/>
                    <w:autoSpaceDE w:val="0"/>
                    <w:autoSpaceDN w:val="0"/>
                    <w:adjustRightInd w:val="0"/>
                    <w:textAlignment w:val="baseline"/>
                    <w:rPr>
                      <w:rFonts w:eastAsia="Calibri"/>
                      <w:b/>
                      <w:sz w:val="24"/>
                      <w:szCs w:val="24"/>
                    </w:rPr>
                  </w:pPr>
                  <w:r w:rsidRPr="00F80BE0">
                    <w:rPr>
                      <w:rFonts w:eastAsia="Calibri"/>
                      <w:b/>
                      <w:sz w:val="24"/>
                      <w:szCs w:val="24"/>
                    </w:rPr>
                    <w:t xml:space="preserve">_____________ </w:t>
                  </w:r>
                </w:p>
                <w:p w:rsidR="00F80BE0" w:rsidRPr="00F80BE0" w:rsidRDefault="00F80BE0" w:rsidP="00F80BE0">
                  <w:pPr>
                    <w:keepNext/>
                    <w:autoSpaceDE w:val="0"/>
                    <w:autoSpaceDN w:val="0"/>
                    <w:outlineLvl w:val="0"/>
                    <w:rPr>
                      <w:rFonts w:eastAsia="Calibri"/>
                      <w:b/>
                      <w:sz w:val="24"/>
                      <w:szCs w:val="24"/>
                    </w:rPr>
                  </w:pPr>
                  <w:r w:rsidRPr="00F80BE0">
                    <w:rPr>
                      <w:rFonts w:eastAsia="Calibri"/>
                      <w:sz w:val="16"/>
                      <w:szCs w:val="16"/>
                    </w:rPr>
                    <w:t>МП</w:t>
                  </w: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714027" w:rsidRDefault="00714027" w:rsidP="00EE5874">
      <w:pPr>
        <w:pStyle w:val="11"/>
        <w:numPr>
          <w:ilvl w:val="0"/>
          <w:numId w:val="0"/>
        </w:numPr>
        <w:ind w:left="1134" w:hanging="1134"/>
      </w:pPr>
      <w:bookmarkStart w:id="309" w:name="_Ref467586016"/>
      <w:bookmarkStart w:id="310" w:name="_Toc467849823"/>
      <w:bookmarkStart w:id="311" w:name="_Toc527040934"/>
      <w:r w:rsidRPr="001C784B">
        <w:t>ПРИЛОЖЕНИЕ 2:</w:t>
      </w:r>
      <w:r w:rsidR="00EE5874">
        <w:t xml:space="preserve"> </w:t>
      </w:r>
      <w:r>
        <w:t>Техническое задание (Требования к продукции</w:t>
      </w:r>
      <w:bookmarkEnd w:id="302"/>
      <w:bookmarkEnd w:id="303"/>
      <w:r>
        <w:t>)</w:t>
      </w:r>
      <w:bookmarkEnd w:id="304"/>
      <w:bookmarkEnd w:id="305"/>
      <w:bookmarkEnd w:id="306"/>
      <w:bookmarkEnd w:id="309"/>
      <w:bookmarkEnd w:id="310"/>
      <w:bookmarkEnd w:id="311"/>
    </w:p>
    <w:p w:rsidR="009973B4" w:rsidRDefault="00D1511A" w:rsidP="00714027">
      <w:r w:rsidRPr="0096122B">
        <w:t>Приложено к Закупочной документации</w:t>
      </w:r>
    </w:p>
    <w:p w:rsidR="00DF79C4" w:rsidRDefault="00DF79C4" w:rsidP="00714027"/>
    <w:p w:rsidR="00DF79C4" w:rsidRDefault="00DF79C4" w:rsidP="00714027"/>
    <w:p w:rsidR="00F80BE0" w:rsidRDefault="00F80BE0" w:rsidP="00714027"/>
    <w:p w:rsidR="00F80BE0" w:rsidRDefault="00F80BE0" w:rsidP="00714027"/>
    <w:p w:rsidR="00F80BE0" w:rsidRDefault="00F80BE0" w:rsidP="00714027"/>
    <w:p w:rsidR="00F80BE0" w:rsidRDefault="00F80BE0" w:rsidP="00714027"/>
    <w:p w:rsidR="00ED5B7B" w:rsidRPr="002B4057" w:rsidRDefault="009973B4" w:rsidP="00EE5874">
      <w:pPr>
        <w:keepNext/>
        <w:spacing w:before="240"/>
        <w:outlineLvl w:val="2"/>
        <w:rPr>
          <w:b/>
        </w:rPr>
      </w:pPr>
      <w:bookmarkStart w:id="312" w:name="_Ref467578460"/>
      <w:bookmarkStart w:id="313" w:name="_Toc467849824"/>
      <w:bookmarkStart w:id="314" w:name="_Toc527040935"/>
      <w:r w:rsidRPr="00C43B3C">
        <w:rPr>
          <w:b/>
        </w:rPr>
        <w:lastRenderedPageBreak/>
        <w:t xml:space="preserve">ПРИЛОЖЕНИЕ 3: </w:t>
      </w:r>
      <w:bookmarkEnd w:id="312"/>
      <w:bookmarkEnd w:id="313"/>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4"/>
    </w:p>
    <w:p w:rsidR="0028168B" w:rsidRDefault="0028168B">
      <w:pPr>
        <w:spacing w:before="0"/>
        <w:jc w:val="left"/>
      </w:pPr>
    </w:p>
    <w:p w:rsidR="0028168B" w:rsidRDefault="0028168B" w:rsidP="0028168B">
      <w:pPr>
        <w:keepNext/>
        <w:spacing w:before="240"/>
        <w:outlineLvl w:val="2"/>
        <w:rPr>
          <w:b/>
        </w:rPr>
      </w:pPr>
    </w:p>
    <w:tbl>
      <w:tblPr>
        <w:tblpPr w:leftFromText="180" w:rightFromText="180" w:vertAnchor="text" w:tblpY="1"/>
        <w:tblOverlap w:val="never"/>
        <w:tblW w:w="9913" w:type="dxa"/>
        <w:tblLayout w:type="fixed"/>
        <w:tblLook w:val="04A0" w:firstRow="1" w:lastRow="0" w:firstColumn="1" w:lastColumn="0" w:noHBand="0" w:noVBand="1"/>
      </w:tblPr>
      <w:tblGrid>
        <w:gridCol w:w="458"/>
        <w:gridCol w:w="3916"/>
        <w:gridCol w:w="719"/>
        <w:gridCol w:w="851"/>
        <w:gridCol w:w="1843"/>
        <w:gridCol w:w="2126"/>
      </w:tblGrid>
      <w:tr w:rsidR="00DA2194" w:rsidRPr="00DA2194" w:rsidTr="000C42E6">
        <w:trPr>
          <w:trHeight w:val="276"/>
        </w:trPr>
        <w:tc>
          <w:tcPr>
            <w:tcW w:w="458"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DA2194" w:rsidRPr="00DA2194" w:rsidRDefault="00DA2194" w:rsidP="00DA2194">
            <w:pPr>
              <w:spacing w:before="0"/>
              <w:jc w:val="center"/>
              <w:rPr>
                <w:rFonts w:eastAsia="Times New Roman"/>
                <w:b/>
                <w:bCs/>
                <w:color w:val="000000"/>
                <w:sz w:val="24"/>
                <w:szCs w:val="24"/>
                <w:lang w:eastAsia="ru-RU"/>
              </w:rPr>
            </w:pPr>
            <w:r w:rsidRPr="00DA2194">
              <w:rPr>
                <w:rFonts w:eastAsia="Times New Roman"/>
                <w:b/>
                <w:bCs/>
                <w:color w:val="000000"/>
                <w:sz w:val="24"/>
                <w:szCs w:val="24"/>
                <w:lang w:eastAsia="ru-RU"/>
              </w:rPr>
              <w:t>№</w:t>
            </w:r>
          </w:p>
        </w:tc>
        <w:tc>
          <w:tcPr>
            <w:tcW w:w="3916" w:type="dxa"/>
            <w:tcBorders>
              <w:top w:val="single" w:sz="8" w:space="0" w:color="auto"/>
              <w:left w:val="single" w:sz="4" w:space="0" w:color="auto"/>
              <w:bottom w:val="single" w:sz="4" w:space="0" w:color="auto"/>
              <w:right w:val="single" w:sz="4" w:space="0" w:color="auto"/>
            </w:tcBorders>
            <w:shd w:val="clear" w:color="000000" w:fill="FFFFFF"/>
            <w:vAlign w:val="center"/>
            <w:hideMark/>
          </w:tcPr>
          <w:p w:rsidR="00DA2194" w:rsidRPr="00DA2194" w:rsidRDefault="00DA2194" w:rsidP="00DA2194">
            <w:pPr>
              <w:spacing w:before="0"/>
              <w:jc w:val="center"/>
              <w:rPr>
                <w:rFonts w:eastAsia="Times New Roman"/>
                <w:b/>
                <w:bCs/>
                <w:color w:val="000000"/>
                <w:sz w:val="24"/>
                <w:szCs w:val="24"/>
                <w:lang w:eastAsia="ru-RU"/>
              </w:rPr>
            </w:pPr>
            <w:r w:rsidRPr="00DA2194">
              <w:rPr>
                <w:rFonts w:eastAsia="Times New Roman"/>
                <w:b/>
                <w:bCs/>
                <w:color w:val="000000"/>
                <w:sz w:val="24"/>
                <w:szCs w:val="24"/>
                <w:lang w:eastAsia="ru-RU"/>
              </w:rPr>
              <w:t>Наименование поставляемой продукции</w:t>
            </w:r>
          </w:p>
        </w:tc>
        <w:tc>
          <w:tcPr>
            <w:tcW w:w="719" w:type="dxa"/>
            <w:tcBorders>
              <w:top w:val="single" w:sz="8" w:space="0" w:color="auto"/>
              <w:left w:val="single" w:sz="4" w:space="0" w:color="auto"/>
              <w:bottom w:val="single" w:sz="4" w:space="0" w:color="auto"/>
              <w:right w:val="single" w:sz="4" w:space="0" w:color="auto"/>
            </w:tcBorders>
            <w:shd w:val="clear" w:color="000000" w:fill="FFFFFF"/>
            <w:vAlign w:val="center"/>
            <w:hideMark/>
          </w:tcPr>
          <w:p w:rsidR="00DA2194" w:rsidRPr="00DA2194" w:rsidRDefault="00DA2194" w:rsidP="00DA2194">
            <w:pPr>
              <w:spacing w:before="0"/>
              <w:jc w:val="center"/>
              <w:rPr>
                <w:rFonts w:eastAsia="Times New Roman"/>
                <w:b/>
                <w:bCs/>
                <w:color w:val="000000"/>
                <w:sz w:val="24"/>
                <w:szCs w:val="24"/>
                <w:lang w:eastAsia="ru-RU"/>
              </w:rPr>
            </w:pPr>
            <w:r w:rsidRPr="00DA2194">
              <w:rPr>
                <w:rFonts w:eastAsia="Times New Roman"/>
                <w:b/>
                <w:bCs/>
                <w:color w:val="000000"/>
                <w:sz w:val="24"/>
                <w:szCs w:val="24"/>
                <w:lang w:eastAsia="ru-RU"/>
              </w:rPr>
              <w:t xml:space="preserve"> Ед.</w:t>
            </w:r>
            <w:r>
              <w:rPr>
                <w:rFonts w:eastAsia="Times New Roman"/>
                <w:b/>
                <w:bCs/>
                <w:color w:val="000000"/>
                <w:sz w:val="24"/>
                <w:szCs w:val="24"/>
                <w:lang w:eastAsia="ru-RU"/>
              </w:rPr>
              <w:t xml:space="preserve"> </w:t>
            </w:r>
            <w:r w:rsidRPr="00DA2194">
              <w:rPr>
                <w:rFonts w:eastAsia="Times New Roman"/>
                <w:b/>
                <w:bCs/>
                <w:color w:val="000000"/>
                <w:sz w:val="24"/>
                <w:szCs w:val="24"/>
                <w:lang w:eastAsia="ru-RU"/>
              </w:rPr>
              <w:t>изм.</w:t>
            </w:r>
          </w:p>
        </w:tc>
        <w:tc>
          <w:tcPr>
            <w:tcW w:w="851" w:type="dxa"/>
            <w:tcBorders>
              <w:top w:val="single" w:sz="8" w:space="0" w:color="auto"/>
              <w:left w:val="single" w:sz="4" w:space="0" w:color="auto"/>
              <w:bottom w:val="single" w:sz="4" w:space="0" w:color="auto"/>
              <w:right w:val="single" w:sz="4" w:space="0" w:color="auto"/>
            </w:tcBorders>
            <w:shd w:val="clear" w:color="000000" w:fill="FFFFFF"/>
          </w:tcPr>
          <w:p w:rsidR="00DA2194" w:rsidRPr="00DA2194" w:rsidRDefault="00DA2194" w:rsidP="00DA2194">
            <w:pPr>
              <w:spacing w:before="0"/>
              <w:jc w:val="center"/>
              <w:rPr>
                <w:rFonts w:eastAsia="Times New Roman"/>
                <w:b/>
                <w:bCs/>
                <w:color w:val="000000"/>
                <w:sz w:val="24"/>
                <w:szCs w:val="24"/>
                <w:lang w:eastAsia="ru-RU"/>
              </w:rPr>
            </w:pPr>
            <w:r>
              <w:rPr>
                <w:rFonts w:eastAsia="Times New Roman"/>
                <w:b/>
                <w:bCs/>
                <w:color w:val="000000"/>
                <w:sz w:val="24"/>
                <w:szCs w:val="24"/>
                <w:lang w:eastAsia="ru-RU"/>
              </w:rPr>
              <w:t>Кол-во</w:t>
            </w:r>
          </w:p>
        </w:tc>
        <w:tc>
          <w:tcPr>
            <w:tcW w:w="1843" w:type="dxa"/>
            <w:tcBorders>
              <w:top w:val="single" w:sz="8" w:space="0" w:color="auto"/>
              <w:left w:val="single" w:sz="4" w:space="0" w:color="auto"/>
              <w:bottom w:val="single" w:sz="4" w:space="0" w:color="auto"/>
              <w:right w:val="single" w:sz="4" w:space="0" w:color="auto"/>
            </w:tcBorders>
            <w:shd w:val="clear" w:color="000000" w:fill="FFFFFF"/>
          </w:tcPr>
          <w:p w:rsidR="00DA2194" w:rsidRPr="00DA2194" w:rsidRDefault="00DA2194" w:rsidP="00DA219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Цена, </w:t>
            </w:r>
            <w:r w:rsidRPr="00DA2194">
              <w:rPr>
                <w:rFonts w:eastAsia="Times New Roman"/>
                <w:b/>
                <w:bCs/>
                <w:color w:val="000000"/>
                <w:sz w:val="24"/>
                <w:szCs w:val="24"/>
                <w:lang w:eastAsia="ru-RU"/>
              </w:rPr>
              <w:t xml:space="preserve"> с НДС (руб.)</w:t>
            </w:r>
          </w:p>
        </w:tc>
        <w:tc>
          <w:tcPr>
            <w:tcW w:w="2126" w:type="dxa"/>
            <w:tcBorders>
              <w:top w:val="single" w:sz="8" w:space="0" w:color="auto"/>
              <w:left w:val="single" w:sz="4" w:space="0" w:color="auto"/>
              <w:bottom w:val="single" w:sz="4" w:space="0" w:color="auto"/>
              <w:right w:val="single" w:sz="4" w:space="0" w:color="auto"/>
            </w:tcBorders>
            <w:shd w:val="clear" w:color="000000" w:fill="FFFFFF"/>
            <w:vAlign w:val="center"/>
            <w:hideMark/>
          </w:tcPr>
          <w:p w:rsidR="00DA2194" w:rsidRPr="00DA2194" w:rsidRDefault="00DA2194" w:rsidP="00DA2194">
            <w:pPr>
              <w:spacing w:before="0"/>
              <w:jc w:val="center"/>
              <w:rPr>
                <w:rFonts w:eastAsia="Times New Roman"/>
                <w:b/>
                <w:bCs/>
                <w:color w:val="000000"/>
                <w:sz w:val="24"/>
                <w:szCs w:val="24"/>
                <w:lang w:eastAsia="ru-RU"/>
              </w:rPr>
            </w:pPr>
            <w:r w:rsidRPr="00DA2194">
              <w:rPr>
                <w:rFonts w:eastAsia="Times New Roman"/>
                <w:b/>
                <w:bCs/>
                <w:color w:val="000000"/>
                <w:sz w:val="24"/>
                <w:szCs w:val="24"/>
                <w:lang w:eastAsia="ru-RU"/>
              </w:rPr>
              <w:t>Стоимость, с НДС (руб.)</w:t>
            </w:r>
          </w:p>
        </w:tc>
      </w:tr>
      <w:tr w:rsidR="00DA2194" w:rsidRPr="00DA2194" w:rsidTr="000C42E6">
        <w:trPr>
          <w:trHeight w:val="2275"/>
        </w:trPr>
        <w:tc>
          <w:tcPr>
            <w:tcW w:w="458" w:type="dxa"/>
            <w:tcBorders>
              <w:top w:val="nil"/>
              <w:left w:val="single" w:sz="8"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1</w:t>
            </w:r>
          </w:p>
        </w:tc>
        <w:tc>
          <w:tcPr>
            <w:tcW w:w="3916" w:type="dxa"/>
            <w:tcBorders>
              <w:top w:val="nil"/>
              <w:left w:val="single" w:sz="4" w:space="0" w:color="auto"/>
              <w:bottom w:val="single" w:sz="4" w:space="0" w:color="auto"/>
              <w:right w:val="single" w:sz="4" w:space="0" w:color="auto"/>
            </w:tcBorders>
            <w:shd w:val="clear" w:color="000000" w:fill="FFFFFF"/>
            <w:hideMark/>
          </w:tcPr>
          <w:p w:rsidR="00DA2194" w:rsidRPr="00DA2194" w:rsidRDefault="00DA2194" w:rsidP="00DA2194">
            <w:pPr>
              <w:spacing w:before="0"/>
              <w:jc w:val="left"/>
              <w:rPr>
                <w:rFonts w:eastAsia="Times New Roman"/>
                <w:color w:val="000000"/>
                <w:sz w:val="24"/>
                <w:szCs w:val="24"/>
                <w:lang w:eastAsia="ru-RU"/>
              </w:rPr>
            </w:pPr>
            <w:r w:rsidRPr="00DA2194">
              <w:rPr>
                <w:rFonts w:eastAsia="Times New Roman"/>
                <w:color w:val="000000"/>
                <w:sz w:val="24"/>
                <w:szCs w:val="24"/>
                <w:lang w:eastAsia="ru-RU"/>
              </w:rPr>
              <w:t>Продление антивирусного программного обеспечения ESET NOD32 Antivirus Business Edition на 170 пользователей с дозакупкой лицензий на 200 пользователей</w:t>
            </w:r>
          </w:p>
        </w:tc>
        <w:tc>
          <w:tcPr>
            <w:tcW w:w="719"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шт.</w:t>
            </w:r>
          </w:p>
        </w:tc>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sz w:val="28"/>
                <w:szCs w:val="28"/>
                <w:lang w:eastAsia="ru-RU"/>
              </w:rPr>
            </w:pPr>
            <w:r w:rsidRPr="00DA2194">
              <w:rPr>
                <w:rFonts w:eastAsia="Times New Roman"/>
                <w:sz w:val="28"/>
                <w:szCs w:val="28"/>
                <w:lang w:eastAsia="ru-RU"/>
              </w:rPr>
              <w:t>1</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DA2194" w:rsidRPr="00DA2194" w:rsidRDefault="000C42E6" w:rsidP="00DA2194">
            <w:pPr>
              <w:spacing w:before="0"/>
              <w:jc w:val="center"/>
              <w:rPr>
                <w:rFonts w:eastAsia="Times New Roman"/>
                <w:color w:val="000000"/>
                <w:sz w:val="28"/>
                <w:szCs w:val="28"/>
                <w:lang w:eastAsia="ru-RU"/>
              </w:rPr>
            </w:pPr>
            <w:r w:rsidRPr="00DA2194">
              <w:rPr>
                <w:rFonts w:eastAsia="Times New Roman"/>
                <w:color w:val="000000"/>
                <w:sz w:val="28"/>
                <w:szCs w:val="28"/>
                <w:lang w:eastAsia="ru-RU"/>
              </w:rPr>
              <w:t>117 780,00</w:t>
            </w:r>
          </w:p>
        </w:tc>
        <w:tc>
          <w:tcPr>
            <w:tcW w:w="2126"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8"/>
                <w:szCs w:val="28"/>
                <w:lang w:eastAsia="ru-RU"/>
              </w:rPr>
            </w:pPr>
            <w:r w:rsidRPr="00DA2194">
              <w:rPr>
                <w:rFonts w:eastAsia="Times New Roman"/>
                <w:color w:val="000000"/>
                <w:sz w:val="28"/>
                <w:szCs w:val="28"/>
                <w:lang w:eastAsia="ru-RU"/>
              </w:rPr>
              <w:t>117 780,00</w:t>
            </w:r>
          </w:p>
        </w:tc>
      </w:tr>
      <w:tr w:rsidR="00DA2194" w:rsidRPr="00DA2194" w:rsidTr="000C42E6">
        <w:trPr>
          <w:trHeight w:val="1600"/>
        </w:trPr>
        <w:tc>
          <w:tcPr>
            <w:tcW w:w="458" w:type="dxa"/>
            <w:tcBorders>
              <w:top w:val="nil"/>
              <w:left w:val="single" w:sz="8"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2</w:t>
            </w:r>
          </w:p>
        </w:tc>
        <w:tc>
          <w:tcPr>
            <w:tcW w:w="3916" w:type="dxa"/>
            <w:tcBorders>
              <w:top w:val="nil"/>
              <w:left w:val="single" w:sz="4" w:space="0" w:color="auto"/>
              <w:bottom w:val="single" w:sz="4" w:space="0" w:color="auto"/>
              <w:right w:val="single" w:sz="4" w:space="0" w:color="auto"/>
            </w:tcBorders>
            <w:shd w:val="clear" w:color="000000" w:fill="FFFFFF"/>
            <w:hideMark/>
          </w:tcPr>
          <w:p w:rsidR="00DA2194" w:rsidRPr="00DA2194" w:rsidRDefault="00DA2194" w:rsidP="00DA2194">
            <w:pPr>
              <w:spacing w:before="0"/>
              <w:jc w:val="left"/>
              <w:rPr>
                <w:rFonts w:eastAsia="Times New Roman"/>
                <w:color w:val="000000"/>
                <w:sz w:val="24"/>
                <w:szCs w:val="24"/>
                <w:lang w:val="en-US" w:eastAsia="ru-RU"/>
              </w:rPr>
            </w:pPr>
            <w:r w:rsidRPr="00DA2194">
              <w:rPr>
                <w:rFonts w:eastAsia="Times New Roman"/>
                <w:color w:val="000000"/>
                <w:sz w:val="24"/>
                <w:szCs w:val="24"/>
                <w:lang w:val="en-US" w:eastAsia="ru-RU"/>
              </w:rPr>
              <w:t>ESET Mail Security для Microsoft Exchange Server на 210 почтовых ящиков</w:t>
            </w:r>
          </w:p>
        </w:tc>
        <w:tc>
          <w:tcPr>
            <w:tcW w:w="719"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шт.</w:t>
            </w:r>
          </w:p>
        </w:tc>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sz w:val="28"/>
                <w:szCs w:val="28"/>
                <w:lang w:eastAsia="ru-RU"/>
              </w:rPr>
            </w:pPr>
            <w:r w:rsidRPr="00DA2194">
              <w:rPr>
                <w:rFonts w:eastAsia="Times New Roman"/>
                <w:sz w:val="28"/>
                <w:szCs w:val="28"/>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A2194" w:rsidRPr="00DA2194" w:rsidRDefault="000C42E6" w:rsidP="00DA2194">
            <w:pPr>
              <w:spacing w:before="0"/>
              <w:jc w:val="center"/>
              <w:rPr>
                <w:rFonts w:eastAsia="Times New Roman"/>
                <w:color w:val="000000"/>
                <w:sz w:val="28"/>
                <w:szCs w:val="28"/>
                <w:lang w:eastAsia="ru-RU"/>
              </w:rPr>
            </w:pPr>
            <w:r w:rsidRPr="00DA2194">
              <w:rPr>
                <w:rFonts w:eastAsia="Times New Roman"/>
                <w:color w:val="000000"/>
                <w:sz w:val="28"/>
                <w:szCs w:val="28"/>
                <w:lang w:eastAsia="ru-RU"/>
              </w:rPr>
              <w:t>66 780,00</w:t>
            </w:r>
          </w:p>
        </w:tc>
        <w:tc>
          <w:tcPr>
            <w:tcW w:w="2126"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8"/>
                <w:szCs w:val="28"/>
                <w:lang w:eastAsia="ru-RU"/>
              </w:rPr>
            </w:pPr>
            <w:r w:rsidRPr="00DA2194">
              <w:rPr>
                <w:rFonts w:eastAsia="Times New Roman"/>
                <w:color w:val="000000"/>
                <w:sz w:val="28"/>
                <w:szCs w:val="28"/>
                <w:lang w:eastAsia="ru-RU"/>
              </w:rPr>
              <w:t>66 780,00</w:t>
            </w:r>
          </w:p>
        </w:tc>
      </w:tr>
      <w:tr w:rsidR="00DA2194" w:rsidRPr="00DA2194" w:rsidTr="000C42E6">
        <w:trPr>
          <w:trHeight w:val="1540"/>
        </w:trPr>
        <w:tc>
          <w:tcPr>
            <w:tcW w:w="458" w:type="dxa"/>
            <w:tcBorders>
              <w:top w:val="nil"/>
              <w:left w:val="single" w:sz="8"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3</w:t>
            </w:r>
          </w:p>
        </w:tc>
        <w:tc>
          <w:tcPr>
            <w:tcW w:w="3916" w:type="dxa"/>
            <w:tcBorders>
              <w:top w:val="nil"/>
              <w:left w:val="single" w:sz="4" w:space="0" w:color="auto"/>
              <w:bottom w:val="single" w:sz="4" w:space="0" w:color="auto"/>
              <w:right w:val="single" w:sz="4" w:space="0" w:color="auto"/>
            </w:tcBorders>
            <w:shd w:val="clear" w:color="000000" w:fill="FFFFFF"/>
            <w:hideMark/>
          </w:tcPr>
          <w:p w:rsidR="00DA2194" w:rsidRPr="003149FC" w:rsidRDefault="00DA2194" w:rsidP="00DA2194">
            <w:pPr>
              <w:jc w:val="left"/>
              <w:rPr>
                <w:sz w:val="24"/>
                <w:szCs w:val="24"/>
                <w:lang w:val="en-US"/>
              </w:rPr>
            </w:pPr>
            <w:bookmarkStart w:id="315" w:name="_Hlk35334600"/>
            <w:r w:rsidRPr="003149FC">
              <w:rPr>
                <w:sz w:val="24"/>
                <w:szCs w:val="24"/>
                <w:lang w:val="en-US"/>
              </w:rPr>
              <w:t>Microsoft Office Standard 2019 Russian OLV NL Each AcademicEdition Additional Product</w:t>
            </w:r>
            <w:bookmarkEnd w:id="315"/>
          </w:p>
        </w:tc>
        <w:tc>
          <w:tcPr>
            <w:tcW w:w="719"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шт.</w:t>
            </w:r>
          </w:p>
        </w:tc>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sz w:val="28"/>
                <w:szCs w:val="28"/>
                <w:lang w:eastAsia="ru-RU"/>
              </w:rPr>
            </w:pPr>
            <w:r w:rsidRPr="00DA2194">
              <w:rPr>
                <w:rFonts w:eastAsia="Times New Roman"/>
                <w:sz w:val="28"/>
                <w:szCs w:val="28"/>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A2194" w:rsidRPr="00DA2194" w:rsidRDefault="000C42E6" w:rsidP="000C42E6">
            <w:pPr>
              <w:spacing w:before="0"/>
              <w:jc w:val="center"/>
              <w:rPr>
                <w:rFonts w:eastAsia="Times New Roman"/>
                <w:color w:val="000000"/>
                <w:sz w:val="28"/>
                <w:szCs w:val="28"/>
                <w:lang w:eastAsia="ru-RU"/>
              </w:rPr>
            </w:pPr>
            <w:r>
              <w:rPr>
                <w:rFonts w:eastAsia="Times New Roman"/>
                <w:color w:val="000000"/>
                <w:sz w:val="28"/>
                <w:szCs w:val="28"/>
                <w:lang w:eastAsia="ru-RU"/>
              </w:rPr>
              <w:t>3 560,80</w:t>
            </w:r>
          </w:p>
        </w:tc>
        <w:tc>
          <w:tcPr>
            <w:tcW w:w="2126"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8"/>
                <w:szCs w:val="28"/>
                <w:lang w:eastAsia="ru-RU"/>
              </w:rPr>
            </w:pPr>
            <w:r w:rsidRPr="00DA2194">
              <w:rPr>
                <w:rFonts w:eastAsia="Times New Roman"/>
                <w:color w:val="000000"/>
                <w:sz w:val="28"/>
                <w:szCs w:val="28"/>
                <w:lang w:eastAsia="ru-RU"/>
              </w:rPr>
              <w:t>71 216,00</w:t>
            </w:r>
          </w:p>
        </w:tc>
      </w:tr>
      <w:tr w:rsidR="00DA2194" w:rsidRPr="00DA2194" w:rsidTr="000C42E6">
        <w:trPr>
          <w:trHeight w:val="1615"/>
        </w:trPr>
        <w:tc>
          <w:tcPr>
            <w:tcW w:w="458" w:type="dxa"/>
            <w:tcBorders>
              <w:top w:val="nil"/>
              <w:left w:val="single" w:sz="8"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4</w:t>
            </w:r>
          </w:p>
        </w:tc>
        <w:tc>
          <w:tcPr>
            <w:tcW w:w="3916" w:type="dxa"/>
            <w:tcBorders>
              <w:top w:val="nil"/>
              <w:left w:val="single" w:sz="4" w:space="0" w:color="auto"/>
              <w:bottom w:val="single" w:sz="4" w:space="0" w:color="auto"/>
              <w:right w:val="single" w:sz="4" w:space="0" w:color="auto"/>
            </w:tcBorders>
            <w:shd w:val="clear" w:color="000000" w:fill="FFFFFF"/>
            <w:hideMark/>
          </w:tcPr>
          <w:p w:rsidR="00DA2194" w:rsidRPr="00DA2194" w:rsidRDefault="00DA2194" w:rsidP="00DA2194">
            <w:pPr>
              <w:spacing w:before="0"/>
              <w:jc w:val="left"/>
              <w:rPr>
                <w:rFonts w:eastAsia="Times New Roman"/>
                <w:color w:val="000000"/>
                <w:sz w:val="24"/>
                <w:szCs w:val="24"/>
                <w:lang w:val="en-US" w:eastAsia="ru-RU"/>
              </w:rPr>
            </w:pPr>
            <w:r w:rsidRPr="00DA2194">
              <w:rPr>
                <w:rFonts w:eastAsia="Times New Roman"/>
                <w:color w:val="000000"/>
                <w:sz w:val="24"/>
                <w:szCs w:val="24"/>
                <w:lang w:val="en-US" w:eastAsia="ru-RU"/>
              </w:rPr>
              <w:t>WINHOME 10 Russian OLV NL Each AcademicEdition Legalization GetGenuine Legalization</w:t>
            </w:r>
          </w:p>
        </w:tc>
        <w:tc>
          <w:tcPr>
            <w:tcW w:w="719"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шт.</w:t>
            </w:r>
          </w:p>
        </w:tc>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sz w:val="28"/>
                <w:szCs w:val="28"/>
                <w:lang w:eastAsia="ru-RU"/>
              </w:rPr>
            </w:pPr>
            <w:r w:rsidRPr="00DA2194">
              <w:rPr>
                <w:rFonts w:eastAsia="Times New Roman"/>
                <w:sz w:val="28"/>
                <w:szCs w:val="28"/>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A2194" w:rsidRPr="00DA2194" w:rsidRDefault="000C42E6" w:rsidP="000C42E6">
            <w:pPr>
              <w:spacing w:before="0"/>
              <w:jc w:val="center"/>
              <w:rPr>
                <w:rFonts w:eastAsia="Times New Roman"/>
                <w:color w:val="000000"/>
                <w:sz w:val="28"/>
                <w:szCs w:val="28"/>
                <w:lang w:eastAsia="ru-RU"/>
              </w:rPr>
            </w:pPr>
            <w:r>
              <w:rPr>
                <w:rFonts w:eastAsia="Times New Roman"/>
                <w:color w:val="000000"/>
                <w:sz w:val="28"/>
                <w:szCs w:val="28"/>
                <w:lang w:eastAsia="ru-RU"/>
              </w:rPr>
              <w:t>11 172,92</w:t>
            </w:r>
          </w:p>
        </w:tc>
        <w:tc>
          <w:tcPr>
            <w:tcW w:w="2126" w:type="dxa"/>
            <w:tcBorders>
              <w:top w:val="nil"/>
              <w:left w:val="single" w:sz="4" w:space="0" w:color="auto"/>
              <w:bottom w:val="single" w:sz="4" w:space="0" w:color="auto"/>
              <w:right w:val="single" w:sz="4" w:space="0" w:color="auto"/>
            </w:tcBorders>
            <w:shd w:val="clear" w:color="000000" w:fill="FFFFFF"/>
            <w:noWrap/>
            <w:vAlign w:val="center"/>
            <w:hideMark/>
          </w:tcPr>
          <w:p w:rsidR="00DA2194" w:rsidRPr="00DA2194" w:rsidRDefault="00DA2194" w:rsidP="00DA2194">
            <w:pPr>
              <w:spacing w:before="0"/>
              <w:jc w:val="center"/>
              <w:rPr>
                <w:rFonts w:eastAsia="Times New Roman"/>
                <w:color w:val="000000"/>
                <w:sz w:val="28"/>
                <w:szCs w:val="28"/>
                <w:lang w:eastAsia="ru-RU"/>
              </w:rPr>
            </w:pPr>
            <w:r w:rsidRPr="00DA2194">
              <w:rPr>
                <w:rFonts w:eastAsia="Times New Roman"/>
                <w:color w:val="000000"/>
                <w:sz w:val="28"/>
                <w:szCs w:val="28"/>
                <w:lang w:eastAsia="ru-RU"/>
              </w:rPr>
              <w:t>78 210,44</w:t>
            </w:r>
          </w:p>
        </w:tc>
      </w:tr>
      <w:tr w:rsidR="000C42E6" w:rsidRPr="00DA2194" w:rsidTr="000C42E6">
        <w:trPr>
          <w:trHeight w:val="420"/>
        </w:trPr>
        <w:tc>
          <w:tcPr>
            <w:tcW w:w="458" w:type="dxa"/>
            <w:tcBorders>
              <w:top w:val="nil"/>
              <w:left w:val="single" w:sz="8" w:space="0" w:color="auto"/>
              <w:bottom w:val="single" w:sz="4" w:space="0" w:color="auto"/>
              <w:right w:val="single" w:sz="4" w:space="0" w:color="auto"/>
            </w:tcBorders>
            <w:shd w:val="clear" w:color="000000" w:fill="FFFFFF"/>
            <w:noWrap/>
            <w:vAlign w:val="center"/>
            <w:hideMark/>
          </w:tcPr>
          <w:p w:rsidR="000C42E6" w:rsidRPr="00DA2194" w:rsidRDefault="000C42E6"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 </w:t>
            </w:r>
          </w:p>
        </w:tc>
        <w:tc>
          <w:tcPr>
            <w:tcW w:w="4635" w:type="dxa"/>
            <w:gridSpan w:val="2"/>
            <w:tcBorders>
              <w:top w:val="single" w:sz="4" w:space="0" w:color="auto"/>
              <w:left w:val="nil"/>
              <w:bottom w:val="single" w:sz="4" w:space="0" w:color="auto"/>
              <w:right w:val="single" w:sz="4" w:space="0" w:color="auto"/>
            </w:tcBorders>
            <w:shd w:val="clear" w:color="000000" w:fill="FFFFFF"/>
            <w:vAlign w:val="center"/>
            <w:hideMark/>
          </w:tcPr>
          <w:p w:rsidR="000C42E6" w:rsidRPr="00DA2194" w:rsidRDefault="000C42E6" w:rsidP="00DA2194">
            <w:pPr>
              <w:spacing w:before="0"/>
              <w:jc w:val="right"/>
              <w:rPr>
                <w:rFonts w:eastAsia="Times New Roman"/>
                <w:b/>
                <w:bCs/>
                <w:color w:val="000000"/>
                <w:sz w:val="24"/>
                <w:szCs w:val="24"/>
                <w:lang w:eastAsia="ru-RU"/>
              </w:rPr>
            </w:pPr>
            <w:r w:rsidRPr="00DA2194">
              <w:rPr>
                <w:rFonts w:eastAsia="Times New Roman"/>
                <w:b/>
                <w:bCs/>
                <w:color w:val="000000"/>
                <w:sz w:val="24"/>
                <w:szCs w:val="24"/>
                <w:lang w:eastAsia="ru-RU"/>
              </w:rPr>
              <w:t>ИТОГО</w:t>
            </w:r>
          </w:p>
        </w:tc>
        <w:tc>
          <w:tcPr>
            <w:tcW w:w="2694" w:type="dxa"/>
            <w:gridSpan w:val="2"/>
            <w:tcBorders>
              <w:top w:val="nil"/>
              <w:left w:val="nil"/>
              <w:bottom w:val="single" w:sz="4" w:space="0" w:color="auto"/>
              <w:right w:val="nil"/>
            </w:tcBorders>
            <w:shd w:val="clear" w:color="000000" w:fill="FFFFFF"/>
          </w:tcPr>
          <w:p w:rsidR="000C42E6" w:rsidRPr="00DA2194" w:rsidRDefault="000C42E6" w:rsidP="000C42E6">
            <w:pPr>
              <w:spacing w:before="0"/>
              <w:jc w:val="right"/>
              <w:rPr>
                <w:rFonts w:eastAsia="Times New Roman"/>
                <w:b/>
                <w:bCs/>
                <w:color w:val="000000"/>
                <w:sz w:val="24"/>
                <w:szCs w:val="24"/>
                <w:lang w:eastAsia="ru-RU"/>
              </w:rPr>
            </w:pPr>
          </w:p>
        </w:tc>
        <w:tc>
          <w:tcPr>
            <w:tcW w:w="2126" w:type="dxa"/>
            <w:tcBorders>
              <w:top w:val="nil"/>
              <w:left w:val="nil"/>
              <w:bottom w:val="single" w:sz="4" w:space="0" w:color="auto"/>
              <w:right w:val="single" w:sz="4" w:space="0" w:color="auto"/>
            </w:tcBorders>
            <w:shd w:val="clear" w:color="000000" w:fill="FFFFFF"/>
            <w:vAlign w:val="center"/>
            <w:hideMark/>
          </w:tcPr>
          <w:p w:rsidR="000C42E6" w:rsidRPr="00DA2194" w:rsidRDefault="000C42E6" w:rsidP="000C42E6">
            <w:pPr>
              <w:spacing w:before="0"/>
              <w:jc w:val="right"/>
              <w:rPr>
                <w:rFonts w:eastAsia="Times New Roman"/>
                <w:b/>
                <w:bCs/>
                <w:color w:val="000000"/>
                <w:sz w:val="24"/>
                <w:szCs w:val="24"/>
                <w:lang w:eastAsia="ru-RU"/>
              </w:rPr>
            </w:pPr>
            <w:r w:rsidRPr="00DA2194">
              <w:rPr>
                <w:rFonts w:eastAsia="Times New Roman"/>
                <w:b/>
                <w:bCs/>
                <w:color w:val="000000"/>
                <w:sz w:val="24"/>
                <w:szCs w:val="24"/>
                <w:lang w:eastAsia="ru-RU"/>
              </w:rPr>
              <w:t> </w:t>
            </w:r>
            <w:r w:rsidRPr="000C42E6">
              <w:rPr>
                <w:rFonts w:eastAsia="Times New Roman"/>
                <w:b/>
                <w:bCs/>
                <w:color w:val="000000"/>
                <w:sz w:val="24"/>
                <w:szCs w:val="24"/>
                <w:lang w:eastAsia="ru-RU"/>
              </w:rPr>
              <w:t>333 986,44</w:t>
            </w:r>
          </w:p>
        </w:tc>
      </w:tr>
      <w:tr w:rsidR="000C42E6" w:rsidRPr="00DA2194" w:rsidTr="000C42E6">
        <w:trPr>
          <w:trHeight w:val="420"/>
        </w:trPr>
        <w:tc>
          <w:tcPr>
            <w:tcW w:w="458" w:type="dxa"/>
            <w:tcBorders>
              <w:top w:val="nil"/>
              <w:left w:val="single" w:sz="8" w:space="0" w:color="auto"/>
              <w:bottom w:val="single" w:sz="8" w:space="0" w:color="auto"/>
              <w:right w:val="single" w:sz="4" w:space="0" w:color="auto"/>
            </w:tcBorders>
            <w:shd w:val="clear" w:color="000000" w:fill="FFFFFF"/>
            <w:noWrap/>
            <w:vAlign w:val="center"/>
            <w:hideMark/>
          </w:tcPr>
          <w:p w:rsidR="000C42E6" w:rsidRPr="00DA2194" w:rsidRDefault="000C42E6" w:rsidP="00DA2194">
            <w:pPr>
              <w:spacing w:before="0"/>
              <w:jc w:val="center"/>
              <w:rPr>
                <w:rFonts w:eastAsia="Times New Roman"/>
                <w:color w:val="000000"/>
                <w:sz w:val="24"/>
                <w:szCs w:val="24"/>
                <w:lang w:eastAsia="ru-RU"/>
              </w:rPr>
            </w:pPr>
            <w:r w:rsidRPr="00DA2194">
              <w:rPr>
                <w:rFonts w:eastAsia="Times New Roman"/>
                <w:color w:val="000000"/>
                <w:sz w:val="24"/>
                <w:szCs w:val="24"/>
                <w:lang w:eastAsia="ru-RU"/>
              </w:rPr>
              <w:t> </w:t>
            </w:r>
          </w:p>
        </w:tc>
        <w:tc>
          <w:tcPr>
            <w:tcW w:w="4635" w:type="dxa"/>
            <w:gridSpan w:val="2"/>
            <w:tcBorders>
              <w:top w:val="nil"/>
              <w:left w:val="nil"/>
              <w:bottom w:val="single" w:sz="8" w:space="0" w:color="auto"/>
              <w:right w:val="single" w:sz="4" w:space="0" w:color="auto"/>
            </w:tcBorders>
            <w:shd w:val="clear" w:color="000000" w:fill="FFFFFF"/>
            <w:vAlign w:val="center"/>
            <w:hideMark/>
          </w:tcPr>
          <w:p w:rsidR="000C42E6" w:rsidRPr="00DA2194" w:rsidRDefault="000C42E6" w:rsidP="00DA2194">
            <w:pPr>
              <w:spacing w:before="0"/>
              <w:jc w:val="right"/>
              <w:rPr>
                <w:rFonts w:eastAsia="Times New Roman"/>
                <w:b/>
                <w:bCs/>
                <w:color w:val="000000"/>
                <w:sz w:val="24"/>
                <w:szCs w:val="24"/>
                <w:lang w:eastAsia="ru-RU"/>
              </w:rPr>
            </w:pPr>
            <w:r w:rsidRPr="000C42E6">
              <w:rPr>
                <w:rFonts w:eastAsia="Times New Roman"/>
                <w:b/>
                <w:bCs/>
                <w:color w:val="000000"/>
                <w:sz w:val="24"/>
                <w:szCs w:val="24"/>
                <w:lang w:eastAsia="ru-RU"/>
              </w:rPr>
              <w:t>В том числе НДС</w:t>
            </w:r>
            <w:r w:rsidRPr="00DA2194">
              <w:rPr>
                <w:rFonts w:eastAsia="Times New Roman"/>
                <w:b/>
                <w:bCs/>
                <w:color w:val="000000"/>
                <w:sz w:val="24"/>
                <w:szCs w:val="24"/>
                <w:lang w:eastAsia="ru-RU"/>
              </w:rPr>
              <w:t> </w:t>
            </w:r>
          </w:p>
        </w:tc>
        <w:tc>
          <w:tcPr>
            <w:tcW w:w="4820" w:type="dxa"/>
            <w:gridSpan w:val="3"/>
            <w:tcBorders>
              <w:top w:val="nil"/>
              <w:left w:val="nil"/>
              <w:bottom w:val="single" w:sz="8" w:space="0" w:color="auto"/>
              <w:right w:val="single" w:sz="4" w:space="0" w:color="auto"/>
            </w:tcBorders>
            <w:shd w:val="clear" w:color="auto" w:fill="auto"/>
            <w:noWrap/>
            <w:vAlign w:val="center"/>
            <w:hideMark/>
          </w:tcPr>
          <w:p w:rsidR="000C42E6" w:rsidRPr="00B57734" w:rsidRDefault="00B57734" w:rsidP="000C42E6">
            <w:pPr>
              <w:spacing w:before="0"/>
              <w:jc w:val="right"/>
              <w:rPr>
                <w:rFonts w:eastAsia="Times New Roman"/>
                <w:b/>
                <w:bCs/>
                <w:color w:val="000000"/>
                <w:sz w:val="24"/>
                <w:szCs w:val="24"/>
                <w:lang w:eastAsia="ru-RU"/>
              </w:rPr>
            </w:pPr>
            <w:r>
              <w:rPr>
                <w:rFonts w:eastAsia="Times New Roman"/>
                <w:b/>
                <w:bCs/>
                <w:color w:val="000000"/>
                <w:sz w:val="24"/>
                <w:szCs w:val="24"/>
                <w:lang w:val="en-US" w:eastAsia="ru-RU"/>
              </w:rPr>
              <w:t>55 664</w:t>
            </w:r>
            <w:r>
              <w:rPr>
                <w:rFonts w:eastAsia="Times New Roman"/>
                <w:b/>
                <w:bCs/>
                <w:color w:val="000000"/>
                <w:sz w:val="24"/>
                <w:szCs w:val="24"/>
                <w:lang w:eastAsia="ru-RU"/>
              </w:rPr>
              <w:t>,41</w:t>
            </w:r>
          </w:p>
        </w:tc>
      </w:tr>
    </w:tbl>
    <w:p w:rsidR="00DA2194" w:rsidRDefault="00DA2194" w:rsidP="0028168B">
      <w:pPr>
        <w:keepNext/>
        <w:spacing w:before="240"/>
        <w:outlineLvl w:val="2"/>
        <w:rPr>
          <w:b/>
        </w:rPr>
        <w:sectPr w:rsidR="00DA2194" w:rsidSect="00240257">
          <w:pgSz w:w="11906" w:h="16838"/>
          <w:pgMar w:top="1134" w:right="567" w:bottom="993" w:left="1134" w:header="709" w:footer="709" w:gutter="0"/>
          <w:cols w:space="708"/>
          <w:docGrid w:linePitch="360"/>
        </w:sectPr>
      </w:pPr>
      <w:r>
        <w:rPr>
          <w:b/>
        </w:rPr>
        <w:br w:type="textWrapping" w:clear="all"/>
      </w:r>
    </w:p>
    <w:p w:rsidR="0028168B" w:rsidRPr="0028168B" w:rsidRDefault="0028168B" w:rsidP="00EE5874">
      <w:pPr>
        <w:keepNext/>
        <w:spacing w:before="240"/>
        <w:outlineLvl w:val="2"/>
        <w:rPr>
          <w:b/>
        </w:rPr>
      </w:pPr>
      <w:bookmarkStart w:id="316"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6"/>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F80BE0" w:rsidRPr="00F21D10" w:rsidTr="00E53B5E">
        <w:tc>
          <w:tcPr>
            <w:tcW w:w="993" w:type="dxa"/>
          </w:tcPr>
          <w:p w:rsidR="00F80BE0" w:rsidRPr="00F21D10" w:rsidRDefault="00F80BE0" w:rsidP="00F80BE0">
            <w:pPr>
              <w:rPr>
                <w:sz w:val="20"/>
                <w:szCs w:val="20"/>
              </w:rPr>
            </w:pPr>
            <w:r>
              <w:rPr>
                <w:sz w:val="20"/>
                <w:szCs w:val="20"/>
              </w:rPr>
              <w:t>1</w:t>
            </w:r>
            <w:r w:rsidRPr="00F21D10">
              <w:rPr>
                <w:sz w:val="20"/>
                <w:szCs w:val="20"/>
              </w:rPr>
              <w:t xml:space="preserve">. </w:t>
            </w:r>
          </w:p>
        </w:tc>
        <w:tc>
          <w:tcPr>
            <w:tcW w:w="1276" w:type="dxa"/>
          </w:tcPr>
          <w:p w:rsidR="00F80BE0" w:rsidRPr="00F21D10" w:rsidRDefault="00F80BE0" w:rsidP="00F80BE0">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F80BE0" w:rsidRPr="00F21D10" w:rsidRDefault="00F80BE0" w:rsidP="00F80BE0">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№1</w:t>
            </w:r>
          </w:p>
        </w:tc>
        <w:tc>
          <w:tcPr>
            <w:tcW w:w="2268" w:type="dxa"/>
            <w:tcBorders>
              <w:right w:val="single" w:sz="4" w:space="0" w:color="auto"/>
            </w:tcBorders>
          </w:tcPr>
          <w:p w:rsidR="00F80BE0" w:rsidRDefault="00F80BE0" w:rsidP="00F80BE0">
            <w:pPr>
              <w:pStyle w:val="30"/>
              <w:spacing w:before="0" w:line="240" w:lineRule="auto"/>
              <w:jc w:val="center"/>
              <w:rPr>
                <w:sz w:val="18"/>
                <w:szCs w:val="18"/>
                <w:lang w:eastAsia="ru-RU"/>
              </w:rPr>
            </w:pPr>
            <w:bookmarkStart w:id="317" w:name="_Hlk35850896"/>
            <w:r w:rsidRPr="00E85F34">
              <w:rPr>
                <w:b/>
                <w:sz w:val="18"/>
                <w:szCs w:val="18"/>
                <w:lang w:eastAsia="ru-RU"/>
              </w:rPr>
              <w:t xml:space="preserve">Успешный опыт </w:t>
            </w:r>
            <w:r>
              <w:rPr>
                <w:b/>
                <w:sz w:val="18"/>
                <w:szCs w:val="18"/>
                <w:lang w:eastAsia="ru-RU"/>
              </w:rPr>
              <w:t>оказания</w:t>
            </w:r>
            <w:r w:rsidRPr="00E85F34">
              <w:rPr>
                <w:b/>
                <w:sz w:val="18"/>
                <w:szCs w:val="18"/>
                <w:lang w:eastAsia="ru-RU"/>
              </w:rPr>
              <w:t xml:space="preserve"> услуг, аналогичной предмету закупки</w:t>
            </w:r>
            <w:bookmarkEnd w:id="317"/>
          </w:p>
        </w:tc>
        <w:tc>
          <w:tcPr>
            <w:tcW w:w="1134" w:type="dxa"/>
            <w:tcBorders>
              <w:left w:val="single" w:sz="4" w:space="0" w:color="auto"/>
              <w:right w:val="single" w:sz="4" w:space="0" w:color="auto"/>
            </w:tcBorders>
          </w:tcPr>
          <w:p w:rsidR="00F80BE0" w:rsidRPr="00E85F34" w:rsidRDefault="00F80BE0" w:rsidP="00F80BE0">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F80BE0" w:rsidRPr="00E85F34" w:rsidRDefault="00F80BE0" w:rsidP="00F80BE0">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Pr>
                <w:sz w:val="18"/>
                <w:szCs w:val="18"/>
                <w:lang w:eastAsia="ru-RU"/>
              </w:rPr>
              <w:t xml:space="preserve"> = 0,5</w:t>
            </w:r>
          </w:p>
        </w:tc>
        <w:tc>
          <w:tcPr>
            <w:tcW w:w="2268" w:type="dxa"/>
            <w:tcBorders>
              <w:left w:val="single" w:sz="4" w:space="0" w:color="auto"/>
              <w:right w:val="single" w:sz="4" w:space="0" w:color="auto"/>
            </w:tcBorders>
          </w:tcPr>
          <w:p w:rsidR="00F80BE0" w:rsidRDefault="00F80BE0" w:rsidP="00F80BE0">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2018-2020 г.г., </w:t>
            </w:r>
            <w:r w:rsidRPr="00E85F34">
              <w:rPr>
                <w:b/>
                <w:sz w:val="18"/>
                <w:szCs w:val="18"/>
                <w:lang w:eastAsia="ru-RU"/>
              </w:rPr>
              <w:t>тем лучше заявка (до ограничивающего предела).</w:t>
            </w:r>
          </w:p>
          <w:p w:rsidR="00F80BE0" w:rsidRPr="00E85F34" w:rsidRDefault="00F80BE0" w:rsidP="00F80BE0">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F80BE0" w:rsidRPr="00E85F34" w:rsidRDefault="00F80BE0" w:rsidP="00F80BE0">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18"/>
                <w:szCs w:val="18"/>
                <w:lang w:eastAsia="ru-RU"/>
              </w:rPr>
              <w:t xml:space="preserve">Успешный опыт </w:t>
            </w:r>
            <w:r>
              <w:rPr>
                <w:b/>
                <w:sz w:val="18"/>
                <w:szCs w:val="18"/>
                <w:lang w:eastAsia="ru-RU"/>
              </w:rPr>
              <w:t>оказания</w:t>
            </w:r>
            <w:r w:rsidRPr="00E85F34">
              <w:rPr>
                <w:b/>
                <w:sz w:val="18"/>
                <w:szCs w:val="18"/>
                <w:lang w:eastAsia="ru-RU"/>
              </w:rPr>
              <w:t xml:space="preserve"> услуг, аналогичной предмету закупки</w:t>
            </w:r>
            <w:r w:rsidRPr="00E85F34">
              <w:rPr>
                <w:sz w:val="20"/>
                <w:szCs w:val="20"/>
                <w:lang w:eastAsia="ru-RU"/>
              </w:rPr>
              <w:t>» (по методу «Математическая формула», Тип 1):</w:t>
            </w:r>
          </w:p>
          <w:p w:rsidR="00F80BE0" w:rsidRPr="00E85F34" w:rsidRDefault="00F80BE0" w:rsidP="00F80BE0">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F80BE0" w:rsidRPr="00E85F34" w:rsidRDefault="00F80BE0" w:rsidP="00F80BE0">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F80BE0" w:rsidRPr="00E85F34" w:rsidRDefault="00F80BE0" w:rsidP="00F80BE0">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18"/>
                <w:szCs w:val="18"/>
                <w:lang w:eastAsia="ru-RU"/>
              </w:rPr>
              <w:t xml:space="preserve">Успешный опыт </w:t>
            </w:r>
            <w:r>
              <w:rPr>
                <w:b/>
                <w:sz w:val="18"/>
                <w:szCs w:val="18"/>
                <w:lang w:eastAsia="ru-RU"/>
              </w:rPr>
              <w:t>оказания</w:t>
            </w:r>
            <w:r w:rsidRPr="00E85F34">
              <w:rPr>
                <w:b/>
                <w:sz w:val="18"/>
                <w:szCs w:val="18"/>
                <w:lang w:eastAsia="ru-RU"/>
              </w:rPr>
              <w:t xml:space="preserve"> услуг, аналогичной предмету закупки</w:t>
            </w:r>
            <w:r w:rsidRPr="00E85F34">
              <w:rPr>
                <w:sz w:val="20"/>
                <w:szCs w:val="20"/>
                <w:lang w:eastAsia="ru-RU"/>
              </w:rPr>
              <w:t>» в баллах.</w:t>
            </w:r>
          </w:p>
          <w:p w:rsidR="00F80BE0" w:rsidRPr="00E85F34" w:rsidRDefault="00F80BE0" w:rsidP="00F80BE0">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F80BE0" w:rsidRPr="00E85F34" w:rsidRDefault="00F80BE0" w:rsidP="00F80BE0">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F80BE0" w:rsidRPr="00E85F34" w:rsidRDefault="00F80BE0" w:rsidP="00F80BE0">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F80BE0" w:rsidRPr="00E85F34" w:rsidRDefault="00F80BE0" w:rsidP="00F80BE0">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F80BE0" w:rsidRPr="00F21D10" w:rsidRDefault="00F80BE0" w:rsidP="00F80BE0">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F67D59" w:rsidRPr="00F21D10" w:rsidTr="00E53B5E">
        <w:tc>
          <w:tcPr>
            <w:tcW w:w="993" w:type="dxa"/>
          </w:tcPr>
          <w:p w:rsidR="00F67D59" w:rsidRPr="00F21D10" w:rsidRDefault="00F67D59" w:rsidP="00F67D59">
            <w:pPr>
              <w:rPr>
                <w:sz w:val="20"/>
                <w:szCs w:val="20"/>
              </w:rPr>
            </w:pPr>
            <w:r>
              <w:rPr>
                <w:sz w:val="20"/>
                <w:szCs w:val="20"/>
              </w:rPr>
              <w:lastRenderedPageBreak/>
              <w:t>2</w:t>
            </w:r>
            <w:r w:rsidRPr="00F21D10">
              <w:rPr>
                <w:sz w:val="20"/>
                <w:szCs w:val="20"/>
              </w:rPr>
              <w:t xml:space="preserve">. </w:t>
            </w:r>
          </w:p>
        </w:tc>
        <w:tc>
          <w:tcPr>
            <w:tcW w:w="1276" w:type="dxa"/>
          </w:tcPr>
          <w:p w:rsidR="00F67D59" w:rsidRPr="00F21D10" w:rsidRDefault="00F67D59" w:rsidP="00F67D59">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F67D59" w:rsidRPr="00F21D10" w:rsidRDefault="00F67D59" w:rsidP="00F67D59">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F67D59" w:rsidRDefault="00F67D59" w:rsidP="00F67D59">
            <w:pPr>
              <w:pStyle w:val="30"/>
              <w:spacing w:before="0" w:line="240" w:lineRule="auto"/>
              <w:jc w:val="center"/>
              <w:rPr>
                <w:sz w:val="18"/>
                <w:szCs w:val="18"/>
                <w:lang w:eastAsia="ru-RU"/>
              </w:rPr>
            </w:pPr>
            <w:bookmarkStart w:id="318" w:name="_Hlk35421224"/>
            <w:r>
              <w:rPr>
                <w:b/>
                <w:sz w:val="18"/>
                <w:szCs w:val="18"/>
                <w:lang w:eastAsia="ru-RU"/>
              </w:rPr>
              <w:t>Предоставление прав на использование программного обеспечения с улучшенными характеристиками</w:t>
            </w:r>
            <w:bookmarkEnd w:id="318"/>
          </w:p>
        </w:tc>
        <w:tc>
          <w:tcPr>
            <w:tcW w:w="1134" w:type="dxa"/>
            <w:tcBorders>
              <w:left w:val="single" w:sz="4" w:space="0" w:color="auto"/>
              <w:right w:val="single" w:sz="4" w:space="0" w:color="auto"/>
            </w:tcBorders>
          </w:tcPr>
          <w:p w:rsidR="00F67D59" w:rsidRPr="00E85F34" w:rsidRDefault="00F67D59" w:rsidP="00F67D59">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F67D59" w:rsidRPr="00E85F34" w:rsidRDefault="00F67D59" w:rsidP="00F67D59">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F67D59" w:rsidRDefault="00F67D59" w:rsidP="00F67D59">
            <w:pPr>
              <w:spacing w:before="0"/>
              <w:rPr>
                <w:sz w:val="18"/>
                <w:szCs w:val="18"/>
                <w:lang w:eastAsia="ru-RU"/>
              </w:rPr>
            </w:pPr>
            <w:r>
              <w:rPr>
                <w:sz w:val="18"/>
                <w:szCs w:val="18"/>
                <w:lang w:eastAsia="ru-RU"/>
              </w:rPr>
              <w:t>Предоставление прав на использование программного обеспечения с характеристиками, улучшающими условия технического задания:</w:t>
            </w:r>
          </w:p>
          <w:p w:rsidR="00F67D59" w:rsidRDefault="00F67D59" w:rsidP="00F67D59">
            <w:pPr>
              <w:spacing w:before="0"/>
              <w:rPr>
                <w:sz w:val="18"/>
                <w:szCs w:val="18"/>
                <w:lang w:eastAsia="ru-RU"/>
              </w:rPr>
            </w:pPr>
            <w:r>
              <w:rPr>
                <w:sz w:val="18"/>
                <w:szCs w:val="18"/>
                <w:lang w:eastAsia="ru-RU"/>
              </w:rPr>
              <w:t>-</w:t>
            </w:r>
            <w:bookmarkStart w:id="319" w:name="_Hlk35421745"/>
            <w:r>
              <w:rPr>
                <w:sz w:val="18"/>
                <w:szCs w:val="18"/>
                <w:lang w:eastAsia="ru-RU"/>
              </w:rPr>
              <w:t>версия ПО</w:t>
            </w:r>
          </w:p>
          <w:p w:rsidR="00F67D59" w:rsidRDefault="00F67D59" w:rsidP="00F67D59">
            <w:pPr>
              <w:spacing w:before="0"/>
              <w:rPr>
                <w:sz w:val="18"/>
                <w:szCs w:val="18"/>
                <w:lang w:eastAsia="ru-RU"/>
              </w:rPr>
            </w:pPr>
            <w:r>
              <w:rPr>
                <w:sz w:val="18"/>
                <w:szCs w:val="18"/>
                <w:lang w:eastAsia="ru-RU"/>
              </w:rPr>
              <w:t>и/или</w:t>
            </w:r>
          </w:p>
          <w:p w:rsidR="00F67D59" w:rsidRPr="00C96519" w:rsidRDefault="00F67D59" w:rsidP="00F67D59">
            <w:pPr>
              <w:spacing w:before="0"/>
              <w:rPr>
                <w:sz w:val="18"/>
                <w:szCs w:val="18"/>
                <w:lang w:eastAsia="ru-RU"/>
              </w:rPr>
            </w:pPr>
            <w:r>
              <w:rPr>
                <w:sz w:val="18"/>
                <w:szCs w:val="18"/>
                <w:lang w:eastAsia="ru-RU"/>
              </w:rPr>
              <w:t>-увеличение срока продления антивирусного ПО (более одного года)</w:t>
            </w:r>
            <w:bookmarkEnd w:id="319"/>
            <w:r>
              <w:rPr>
                <w:sz w:val="18"/>
                <w:szCs w:val="18"/>
                <w:lang w:eastAsia="ru-RU"/>
              </w:rPr>
              <w:t>.</w:t>
            </w:r>
          </w:p>
        </w:tc>
        <w:tc>
          <w:tcPr>
            <w:tcW w:w="5103" w:type="dxa"/>
            <w:tcBorders>
              <w:left w:val="single" w:sz="4" w:space="0" w:color="auto"/>
            </w:tcBorders>
          </w:tcPr>
          <w:p w:rsidR="00F67D59" w:rsidRPr="00FC73C5" w:rsidRDefault="00F67D59" w:rsidP="00F67D59">
            <w:pPr>
              <w:pStyle w:val="30"/>
              <w:spacing w:line="276" w:lineRule="auto"/>
              <w:rPr>
                <w:b/>
                <w:i/>
                <w:sz w:val="18"/>
                <w:szCs w:val="18"/>
                <w:lang w:eastAsia="ru-RU"/>
              </w:rPr>
            </w:pPr>
            <w:r w:rsidRPr="00FC73C5">
              <w:rPr>
                <w:sz w:val="18"/>
                <w:szCs w:val="18"/>
                <w:lang w:eastAsia="ru-RU"/>
              </w:rPr>
              <w:t xml:space="preserve">Расчет оценки предпочтительности по частному критерию </w:t>
            </w:r>
            <w:r w:rsidRPr="00461C33">
              <w:rPr>
                <w:sz w:val="18"/>
                <w:szCs w:val="18"/>
                <w:lang w:eastAsia="ru-RU"/>
              </w:rPr>
              <w:t>«</w:t>
            </w:r>
            <w:bookmarkStart w:id="320" w:name="_Hlk35421566"/>
            <w:r w:rsidRPr="00461C33">
              <w:rPr>
                <w:sz w:val="18"/>
                <w:szCs w:val="18"/>
                <w:lang w:eastAsia="ru-RU"/>
              </w:rPr>
              <w:t>Предоставление прав на использование программного обеспечения с улучшенными характеристиками</w:t>
            </w:r>
            <w:bookmarkEnd w:id="320"/>
            <w:r w:rsidRPr="00FC73C5">
              <w:rPr>
                <w:sz w:val="18"/>
                <w:szCs w:val="18"/>
                <w:lang w:eastAsia="ru-RU"/>
              </w:rPr>
              <w:t>» (по методу «Оценка предпочтительности посредством однозначной числовой шкалы измерений», Тип 2):</w:t>
            </w:r>
          </w:p>
          <w:p w:rsidR="00F67D59" w:rsidRPr="00FC73C5" w:rsidRDefault="00F67D59" w:rsidP="00F67D59">
            <w:pPr>
              <w:pStyle w:val="30"/>
              <w:spacing w:line="276" w:lineRule="auto"/>
              <w:rPr>
                <w:sz w:val="18"/>
                <w:szCs w:val="18"/>
                <w:lang w:eastAsia="ru-RU"/>
              </w:rPr>
            </w:pPr>
            <w:r w:rsidRPr="00FC73C5">
              <w:rPr>
                <w:sz w:val="18"/>
                <w:szCs w:val="18"/>
                <w:lang w:eastAsia="ru-RU"/>
              </w:rPr>
              <w:t>Б</w:t>
            </w:r>
            <w:r>
              <w:rPr>
                <w:sz w:val="18"/>
                <w:szCs w:val="18"/>
                <w:vertAlign w:val="subscript"/>
                <w:lang w:eastAsia="ru-RU"/>
              </w:rPr>
              <w:t>2</w:t>
            </w:r>
            <w:r w:rsidRPr="00FC73C5">
              <w:rPr>
                <w:sz w:val="18"/>
                <w:szCs w:val="18"/>
                <w:vertAlign w:val="subscript"/>
                <w:lang w:eastAsia="ru-RU"/>
              </w:rPr>
              <w:t>,</w:t>
            </w:r>
            <w:r w:rsidRPr="00FC73C5">
              <w:rPr>
                <w:sz w:val="18"/>
                <w:szCs w:val="18"/>
                <w:vertAlign w:val="subscript"/>
                <w:lang w:val="en-US" w:eastAsia="ru-RU"/>
              </w:rPr>
              <w:t>i</w:t>
            </w:r>
            <w:r w:rsidRPr="00FC73C5">
              <w:rPr>
                <w:sz w:val="18"/>
                <w:szCs w:val="18"/>
                <w:lang w:eastAsia="ru-RU"/>
              </w:rPr>
              <w:t xml:space="preserve"> – оценка предпочтительности i-й заявки по критерию «</w:t>
            </w:r>
            <w:r w:rsidRPr="00461C33">
              <w:rPr>
                <w:sz w:val="18"/>
                <w:szCs w:val="18"/>
                <w:lang w:eastAsia="ru-RU"/>
              </w:rPr>
              <w:t>Предоставление прав на использование программного обеспечения с улучшенными характеристиками</w:t>
            </w:r>
            <w:r w:rsidRPr="00FC73C5">
              <w:rPr>
                <w:sz w:val="18"/>
                <w:szCs w:val="18"/>
                <w:lang w:eastAsia="ru-RU"/>
              </w:rPr>
              <w:t>» в баллах:</w:t>
            </w:r>
          </w:p>
          <w:p w:rsidR="00F67D59" w:rsidRDefault="00F67D59" w:rsidP="00F67D59">
            <w:pPr>
              <w:spacing w:before="0"/>
              <w:rPr>
                <w:sz w:val="18"/>
                <w:szCs w:val="18"/>
                <w:lang w:eastAsia="ru-RU"/>
              </w:rPr>
            </w:pPr>
            <w:r w:rsidRPr="00FC73C5">
              <w:rPr>
                <w:sz w:val="18"/>
                <w:szCs w:val="18"/>
                <w:lang w:eastAsia="ru-RU"/>
              </w:rPr>
              <w:t>5 баллов –</w:t>
            </w:r>
            <w:r>
              <w:rPr>
                <w:sz w:val="18"/>
                <w:szCs w:val="18"/>
                <w:lang w:eastAsia="ru-RU"/>
              </w:rPr>
              <w:t xml:space="preserve"> </w:t>
            </w:r>
            <w:r w:rsidRPr="00FC73C5">
              <w:rPr>
                <w:sz w:val="18"/>
                <w:szCs w:val="18"/>
                <w:lang w:eastAsia="ru-RU"/>
              </w:rPr>
              <w:t>характеристики</w:t>
            </w:r>
            <w:r>
              <w:rPr>
                <w:sz w:val="18"/>
                <w:szCs w:val="18"/>
                <w:lang w:eastAsia="ru-RU"/>
              </w:rPr>
              <w:t xml:space="preserve"> (версия ПО</w:t>
            </w:r>
          </w:p>
          <w:p w:rsidR="00F67D59" w:rsidRPr="00FC73C5" w:rsidRDefault="00F67D59" w:rsidP="00F67D59">
            <w:pPr>
              <w:spacing w:before="0"/>
              <w:rPr>
                <w:sz w:val="18"/>
                <w:szCs w:val="18"/>
                <w:lang w:eastAsia="ru-RU"/>
              </w:rPr>
            </w:pPr>
            <w:r>
              <w:rPr>
                <w:sz w:val="18"/>
                <w:szCs w:val="18"/>
                <w:lang w:eastAsia="ru-RU"/>
              </w:rPr>
              <w:t xml:space="preserve">и/или увеличение срока продления антивирусного ПО (более одного года)) предлагаемого ПО </w:t>
            </w:r>
            <w:r w:rsidRPr="00FC73C5">
              <w:rPr>
                <w:sz w:val="18"/>
                <w:szCs w:val="18"/>
                <w:lang w:eastAsia="ru-RU"/>
              </w:rPr>
              <w:t>лучше, чем указанные в техническом задании (в допустимых в техническом задании пределах)</w:t>
            </w:r>
            <w:r>
              <w:rPr>
                <w:sz w:val="18"/>
                <w:szCs w:val="18"/>
                <w:lang w:eastAsia="ru-RU"/>
              </w:rPr>
              <w:t>.</w:t>
            </w:r>
          </w:p>
          <w:p w:rsidR="00F67D59" w:rsidRPr="00F21D10" w:rsidRDefault="00F67D59" w:rsidP="00F67D59">
            <w:pPr>
              <w:numPr>
                <w:ilvl w:val="6"/>
                <w:numId w:val="0"/>
              </w:numPr>
              <w:spacing w:before="0" w:after="120" w:line="276" w:lineRule="auto"/>
              <w:jc w:val="left"/>
              <w:rPr>
                <w:sz w:val="20"/>
                <w:szCs w:val="20"/>
                <w:lang w:eastAsia="ru-RU"/>
              </w:rPr>
            </w:pPr>
            <w:r>
              <w:rPr>
                <w:sz w:val="18"/>
                <w:szCs w:val="18"/>
                <w:lang w:eastAsia="ru-RU"/>
              </w:rPr>
              <w:t>0 баллов</w:t>
            </w:r>
            <w:r w:rsidRPr="00FC73C5">
              <w:rPr>
                <w:sz w:val="18"/>
                <w:szCs w:val="18"/>
                <w:lang w:eastAsia="ru-RU"/>
              </w:rPr>
              <w:t xml:space="preserve"> – заявленная продукция </w:t>
            </w:r>
            <w:r>
              <w:rPr>
                <w:sz w:val="18"/>
                <w:szCs w:val="18"/>
                <w:lang w:eastAsia="ru-RU"/>
              </w:rPr>
              <w:t xml:space="preserve">не </w:t>
            </w:r>
            <w:r w:rsidRPr="00FC73C5">
              <w:rPr>
                <w:sz w:val="18"/>
                <w:szCs w:val="18"/>
                <w:lang w:eastAsia="ru-RU"/>
              </w:rPr>
              <w:t>улучша</w:t>
            </w:r>
            <w:r>
              <w:rPr>
                <w:sz w:val="18"/>
                <w:szCs w:val="18"/>
                <w:lang w:eastAsia="ru-RU"/>
              </w:rPr>
              <w:t>е</w:t>
            </w:r>
            <w:r w:rsidRPr="00FC73C5">
              <w:rPr>
                <w:sz w:val="18"/>
                <w:szCs w:val="18"/>
                <w:lang w:eastAsia="ru-RU"/>
              </w:rPr>
              <w:t>т условия договора.</w:t>
            </w:r>
          </w:p>
        </w:tc>
      </w:tr>
      <w:tr w:rsidR="00EE0979" w:rsidRPr="00F21D10" w:rsidTr="00E53B5E">
        <w:tc>
          <w:tcPr>
            <w:tcW w:w="993" w:type="dxa"/>
          </w:tcPr>
          <w:p w:rsidR="00EE0979" w:rsidRDefault="00EE0979" w:rsidP="00EE0979">
            <w:pPr>
              <w:rPr>
                <w:sz w:val="20"/>
                <w:szCs w:val="20"/>
              </w:rPr>
            </w:pPr>
            <w:r>
              <w:rPr>
                <w:sz w:val="20"/>
                <w:szCs w:val="20"/>
              </w:rPr>
              <w:t>3.</w:t>
            </w:r>
          </w:p>
        </w:tc>
        <w:tc>
          <w:tcPr>
            <w:tcW w:w="1276" w:type="dxa"/>
          </w:tcPr>
          <w:p w:rsidR="00EE0979" w:rsidRPr="00F21D10" w:rsidRDefault="00EE0979" w:rsidP="00EE0979">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EE0979" w:rsidRPr="00F21D10" w:rsidRDefault="00EE0979" w:rsidP="00EE0979">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E0979" w:rsidRPr="00EB157E" w:rsidRDefault="00EE0979" w:rsidP="00EE0979">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EE0979" w:rsidRPr="00CC761F" w:rsidRDefault="00EE0979" w:rsidP="00EE0979">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EE0979" w:rsidRPr="00CC761F" w:rsidRDefault="00EE0979" w:rsidP="00EE0979">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EE0979" w:rsidRPr="00CC761F" w:rsidRDefault="00C950F7" w:rsidP="00EE0979">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EE0979" w:rsidRPr="00CC761F" w:rsidRDefault="00EE0979" w:rsidP="00EE0979">
            <w:pPr>
              <w:pStyle w:val="21"/>
              <w:keepNext/>
              <w:spacing w:beforeLines="40" w:before="96" w:line="240" w:lineRule="auto"/>
              <w:ind w:left="-80"/>
              <w:jc w:val="left"/>
              <w:rPr>
                <w:sz w:val="18"/>
                <w:szCs w:val="18"/>
                <w:lang w:eastAsia="ru-RU"/>
              </w:rPr>
            </w:pPr>
            <w:r w:rsidRPr="00CC761F">
              <w:rPr>
                <w:sz w:val="18"/>
                <w:szCs w:val="18"/>
                <w:lang w:eastAsia="ru-RU"/>
              </w:rPr>
              <w:t>где:</w:t>
            </w:r>
          </w:p>
          <w:p w:rsidR="00EE0979" w:rsidRPr="00CC761F" w:rsidRDefault="00EE0979" w:rsidP="00EE0979">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EE0979" w:rsidRDefault="00EE0979" w:rsidP="00EE0979">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EE0979" w:rsidRPr="00F21D10" w:rsidTr="00E53B5E">
        <w:tc>
          <w:tcPr>
            <w:tcW w:w="993" w:type="dxa"/>
          </w:tcPr>
          <w:p w:rsidR="00EE0979" w:rsidRPr="00F21D10" w:rsidRDefault="00EE0979" w:rsidP="00EE0979">
            <w:pPr>
              <w:rPr>
                <w:sz w:val="20"/>
                <w:szCs w:val="20"/>
              </w:rPr>
            </w:pPr>
            <w:r>
              <w:rPr>
                <w:sz w:val="20"/>
                <w:szCs w:val="20"/>
              </w:rPr>
              <w:t>4</w:t>
            </w:r>
            <w:r w:rsidRPr="00F21D10">
              <w:rPr>
                <w:sz w:val="20"/>
                <w:szCs w:val="20"/>
              </w:rPr>
              <w:t>.</w:t>
            </w:r>
          </w:p>
        </w:tc>
        <w:tc>
          <w:tcPr>
            <w:tcW w:w="1276" w:type="dxa"/>
          </w:tcPr>
          <w:p w:rsidR="00EE0979" w:rsidRPr="00F21D10" w:rsidRDefault="00EE0979" w:rsidP="00EE0979">
            <w:pPr>
              <w:rPr>
                <w:sz w:val="20"/>
                <w:szCs w:val="20"/>
              </w:rPr>
            </w:pPr>
            <w:r w:rsidRPr="00F21D10">
              <w:rPr>
                <w:sz w:val="20"/>
                <w:szCs w:val="20"/>
              </w:rPr>
              <w:t>Ценовой нулевого уровня (частный)</w:t>
            </w:r>
          </w:p>
        </w:tc>
        <w:tc>
          <w:tcPr>
            <w:tcW w:w="1276" w:type="dxa"/>
          </w:tcPr>
          <w:p w:rsidR="00EE0979" w:rsidRPr="00F21D10" w:rsidRDefault="00EE0979" w:rsidP="00EE0979">
            <w:pPr>
              <w:rPr>
                <w:sz w:val="20"/>
                <w:szCs w:val="20"/>
              </w:rPr>
            </w:pPr>
            <w:r w:rsidRPr="00F21D10">
              <w:rPr>
                <w:b/>
                <w:sz w:val="20"/>
                <w:szCs w:val="20"/>
              </w:rPr>
              <w:t>Цена договора</w:t>
            </w:r>
          </w:p>
        </w:tc>
        <w:tc>
          <w:tcPr>
            <w:tcW w:w="2268" w:type="dxa"/>
            <w:tcBorders>
              <w:right w:val="single" w:sz="4" w:space="0" w:color="auto"/>
            </w:tcBorders>
          </w:tcPr>
          <w:p w:rsidR="00EE0979" w:rsidRPr="00F21D10" w:rsidRDefault="00EE0979" w:rsidP="00EE0979">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EE0979" w:rsidRPr="00F21D10" w:rsidRDefault="00EE0979" w:rsidP="00EE0979">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EE0979" w:rsidRPr="00F21D10" w:rsidRDefault="00EE0979" w:rsidP="00EE0979">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EE0979" w:rsidRPr="00F21D10" w:rsidRDefault="00EE0979" w:rsidP="00EE0979">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EE0979" w:rsidRPr="00F21D10" w:rsidRDefault="00EE0979" w:rsidP="00EE0979">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EE0979" w:rsidRPr="00F21D10" w:rsidRDefault="00C950F7" w:rsidP="00EE097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EE0979" w:rsidRPr="00F21D10" w:rsidRDefault="00EE0979" w:rsidP="00EE0979">
            <w:pPr>
              <w:rPr>
                <w:sz w:val="20"/>
                <w:szCs w:val="20"/>
              </w:rPr>
            </w:pPr>
            <w:r w:rsidRPr="00F21D10">
              <w:rPr>
                <w:sz w:val="20"/>
                <w:szCs w:val="20"/>
              </w:rPr>
              <w:lastRenderedPageBreak/>
              <w:t>где:</w:t>
            </w:r>
          </w:p>
          <w:p w:rsidR="00EE0979" w:rsidRPr="00F21D10" w:rsidRDefault="00C950F7" w:rsidP="00EE097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EE0979" w:rsidRPr="00F21D10">
              <w:rPr>
                <w:sz w:val="20"/>
                <w:szCs w:val="20"/>
              </w:rPr>
              <w:tab/>
              <w:t>–</w:t>
            </w:r>
            <w:r w:rsidR="00EE0979" w:rsidRPr="00F21D10">
              <w:rPr>
                <w:sz w:val="20"/>
                <w:szCs w:val="20"/>
              </w:rPr>
              <w:tab/>
              <w:t xml:space="preserve">рассчитанная оценка предпочтительности </w:t>
            </w:r>
            <w:r w:rsidR="00EE0979" w:rsidRPr="00F21D10">
              <w:rPr>
                <w:i/>
                <w:sz w:val="20"/>
                <w:szCs w:val="20"/>
                <w:lang w:val="en-US"/>
              </w:rPr>
              <w:t>i</w:t>
            </w:r>
            <w:r w:rsidR="00EE0979" w:rsidRPr="00F21D10">
              <w:rPr>
                <w:i/>
                <w:sz w:val="20"/>
                <w:szCs w:val="20"/>
              </w:rPr>
              <w:t>-</w:t>
            </w:r>
            <w:r w:rsidR="00EE0979" w:rsidRPr="00F21D10">
              <w:rPr>
                <w:sz w:val="20"/>
                <w:szCs w:val="20"/>
              </w:rPr>
              <w:t>й заявки по критерию «</w:t>
            </w:r>
            <w:r w:rsidR="00EE0979" w:rsidRPr="00F21D10">
              <w:rPr>
                <w:b/>
                <w:sz w:val="20"/>
                <w:szCs w:val="20"/>
              </w:rPr>
              <w:t>Цена договора</w:t>
            </w:r>
            <w:r w:rsidR="00EE0979" w:rsidRPr="00F21D10">
              <w:rPr>
                <w:sz w:val="20"/>
                <w:szCs w:val="20"/>
              </w:rPr>
              <w:t>» в баллах;</w:t>
            </w:r>
          </w:p>
          <w:p w:rsidR="00EE0979" w:rsidRPr="00F21D10" w:rsidRDefault="00EE0979" w:rsidP="00EE0979">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EE0979" w:rsidRPr="00F21D10" w:rsidRDefault="00EE0979" w:rsidP="00EE0979">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EE0979" w:rsidRPr="00F21D10" w:rsidRDefault="00EE0979" w:rsidP="00EE0979">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EE0979" w:rsidRPr="00F21D10" w:rsidRDefault="00EE0979" w:rsidP="00EE0979">
            <w:pPr>
              <w:rPr>
                <w:sz w:val="20"/>
                <w:szCs w:val="20"/>
              </w:rPr>
            </w:pPr>
          </w:p>
        </w:tc>
      </w:tr>
      <w:tr w:rsidR="00EE0979" w:rsidRPr="00F21D10" w:rsidTr="00E53B5E">
        <w:tc>
          <w:tcPr>
            <w:tcW w:w="993" w:type="dxa"/>
          </w:tcPr>
          <w:p w:rsidR="00EE0979" w:rsidRPr="00F21D10" w:rsidRDefault="00EE0979" w:rsidP="00EE0979">
            <w:pPr>
              <w:rPr>
                <w:sz w:val="20"/>
                <w:szCs w:val="20"/>
              </w:rPr>
            </w:pPr>
            <w:r>
              <w:rPr>
                <w:sz w:val="20"/>
                <w:szCs w:val="20"/>
              </w:rPr>
              <w:lastRenderedPageBreak/>
              <w:t>5</w:t>
            </w:r>
            <w:r w:rsidRPr="00F21D10">
              <w:rPr>
                <w:sz w:val="20"/>
                <w:szCs w:val="20"/>
              </w:rPr>
              <w:t>.</w:t>
            </w:r>
          </w:p>
        </w:tc>
        <w:tc>
          <w:tcPr>
            <w:tcW w:w="5954" w:type="dxa"/>
            <w:gridSpan w:val="4"/>
          </w:tcPr>
          <w:p w:rsidR="00EE0979" w:rsidRPr="00F21D10" w:rsidRDefault="00EE0979" w:rsidP="00EE0979">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EE0979" w:rsidRPr="00F21D10" w:rsidRDefault="00EE0979" w:rsidP="00EE0979">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EE0979" w:rsidRPr="00F21D10" w:rsidRDefault="00C950F7" w:rsidP="00EE097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EE0979" w:rsidRPr="00F21D10" w:rsidRDefault="00EE0979" w:rsidP="00EE0979">
            <w:pPr>
              <w:rPr>
                <w:sz w:val="20"/>
                <w:szCs w:val="20"/>
              </w:rPr>
            </w:pPr>
            <w:r w:rsidRPr="00F21D10">
              <w:rPr>
                <w:sz w:val="20"/>
                <w:szCs w:val="20"/>
              </w:rPr>
              <w:t>где:</w:t>
            </w:r>
          </w:p>
          <w:p w:rsidR="00EE0979" w:rsidRPr="00F21D10" w:rsidRDefault="00EE0979" w:rsidP="00EE0979">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EE0979" w:rsidRPr="00F21D10" w:rsidRDefault="00EE0979" w:rsidP="00EE0979">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EE0979" w:rsidRPr="00F21D10" w:rsidRDefault="00EE0979" w:rsidP="00EE0979">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EE0979" w:rsidRPr="00F21D10" w:rsidRDefault="00EE0979" w:rsidP="00EE0979">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EE0979" w:rsidRPr="00F21D10" w:rsidRDefault="00EE0979" w:rsidP="00EE0979">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21"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21"/>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2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22"/>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23"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23"/>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0F7" w:rsidRDefault="00C950F7" w:rsidP="00714027">
      <w:pPr>
        <w:spacing w:before="0"/>
      </w:pPr>
      <w:r>
        <w:separator/>
      </w:r>
    </w:p>
  </w:endnote>
  <w:endnote w:type="continuationSeparator" w:id="0">
    <w:p w:rsidR="00C950F7" w:rsidRDefault="00C950F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EE2" w:rsidRDefault="00C45EE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5EE2" w:rsidRDefault="00C45EE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7672">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45EE2" w:rsidRDefault="00C45EE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7672">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C45EE2" w:rsidRDefault="00C45EE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0F7" w:rsidRDefault="00C950F7" w:rsidP="00714027">
      <w:pPr>
        <w:spacing w:before="0"/>
      </w:pPr>
      <w:r>
        <w:separator/>
      </w:r>
    </w:p>
  </w:footnote>
  <w:footnote w:type="continuationSeparator" w:id="0">
    <w:p w:rsidR="00C950F7" w:rsidRDefault="00C950F7" w:rsidP="00714027">
      <w:pPr>
        <w:spacing w:before="0"/>
      </w:pPr>
      <w:r>
        <w:continuationSeparator/>
      </w:r>
    </w:p>
  </w:footnote>
  <w:footnote w:id="1">
    <w:p w:rsidR="00C45EE2" w:rsidRDefault="00C45EE2"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45EE2" w:rsidRDefault="00C45EE2"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45EE2" w:rsidRDefault="00C45EE2"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45EE2" w:rsidRDefault="00C45EE2"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947A28"/>
    <w:multiLevelType w:val="multilevel"/>
    <w:tmpl w:val="E5E4034E"/>
    <w:lvl w:ilvl="0">
      <w:start w:val="1"/>
      <w:numFmt w:val="decimal"/>
      <w:lvlText w:val="%1."/>
      <w:lvlJc w:val="left"/>
      <w:pPr>
        <w:ind w:left="927"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D473081"/>
    <w:multiLevelType w:val="hybridMultilevel"/>
    <w:tmpl w:val="66542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895400"/>
    <w:multiLevelType w:val="hybridMultilevel"/>
    <w:tmpl w:val="ED7EA7E2"/>
    <w:lvl w:ilvl="0" w:tplc="06928E2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3"/>
  </w:num>
  <w:num w:numId="10">
    <w:abstractNumId w:val="11"/>
  </w:num>
  <w:num w:numId="11">
    <w:abstractNumId w:val="4"/>
  </w:num>
  <w:num w:numId="12">
    <w:abstractNumId w:val="28"/>
  </w:num>
  <w:num w:numId="13">
    <w:abstractNumId w:val="21"/>
  </w:num>
  <w:num w:numId="14">
    <w:abstractNumId w:val="9"/>
  </w:num>
  <w:num w:numId="15">
    <w:abstractNumId w:val="0"/>
  </w:num>
  <w:num w:numId="16">
    <w:abstractNumId w:val="2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6"/>
  </w:num>
  <w:num w:numId="27">
    <w:abstractNumId w:val="5"/>
  </w:num>
  <w:num w:numId="28">
    <w:abstractNumId w:val="36"/>
  </w:num>
  <w:num w:numId="29">
    <w:abstractNumId w:val="18"/>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34"/>
  </w:num>
  <w:num w:numId="35">
    <w:abstractNumId w:val="10"/>
  </w:num>
  <w:num w:numId="36">
    <w:abstractNumId w:val="35"/>
  </w:num>
  <w:num w:numId="37">
    <w:abstractNumId w:val="15"/>
  </w:num>
  <w:num w:numId="38">
    <w:abstractNumId w:val="19"/>
  </w:num>
  <w:num w:numId="39">
    <w:abstractNumId w:val="3"/>
  </w:num>
  <w:num w:numId="40">
    <w:abstractNumId w:val="26"/>
  </w:num>
  <w:num w:numId="41">
    <w:abstractNumId w:val="32"/>
  </w:num>
  <w:num w:numId="42">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A74"/>
    <w:rsid w:val="00027EA1"/>
    <w:rsid w:val="000333FB"/>
    <w:rsid w:val="00036817"/>
    <w:rsid w:val="00036965"/>
    <w:rsid w:val="0004623B"/>
    <w:rsid w:val="00050B13"/>
    <w:rsid w:val="00051C4A"/>
    <w:rsid w:val="00053922"/>
    <w:rsid w:val="00055B2E"/>
    <w:rsid w:val="0006048C"/>
    <w:rsid w:val="0006092C"/>
    <w:rsid w:val="00061449"/>
    <w:rsid w:val="000619FB"/>
    <w:rsid w:val="00066E09"/>
    <w:rsid w:val="00067808"/>
    <w:rsid w:val="0007734D"/>
    <w:rsid w:val="000848B0"/>
    <w:rsid w:val="000951FE"/>
    <w:rsid w:val="000A7A13"/>
    <w:rsid w:val="000B26BD"/>
    <w:rsid w:val="000B30E2"/>
    <w:rsid w:val="000C167B"/>
    <w:rsid w:val="000C37EA"/>
    <w:rsid w:val="000C42E6"/>
    <w:rsid w:val="000D6544"/>
    <w:rsid w:val="000E0852"/>
    <w:rsid w:val="000E543A"/>
    <w:rsid w:val="000E759D"/>
    <w:rsid w:val="000F0776"/>
    <w:rsid w:val="000F0FB8"/>
    <w:rsid w:val="000F26F7"/>
    <w:rsid w:val="000F4FE6"/>
    <w:rsid w:val="00105274"/>
    <w:rsid w:val="00116E43"/>
    <w:rsid w:val="00116FE1"/>
    <w:rsid w:val="00120330"/>
    <w:rsid w:val="00122120"/>
    <w:rsid w:val="00127599"/>
    <w:rsid w:val="00134C15"/>
    <w:rsid w:val="00146229"/>
    <w:rsid w:val="00152B57"/>
    <w:rsid w:val="001544A6"/>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17C8"/>
    <w:rsid w:val="001A4AFE"/>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58AC"/>
    <w:rsid w:val="00240257"/>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A4F40"/>
    <w:rsid w:val="002C4BAB"/>
    <w:rsid w:val="002D53F3"/>
    <w:rsid w:val="002E0224"/>
    <w:rsid w:val="002E29D4"/>
    <w:rsid w:val="002E2A2B"/>
    <w:rsid w:val="002E4E9F"/>
    <w:rsid w:val="002E7FC9"/>
    <w:rsid w:val="002F00BC"/>
    <w:rsid w:val="00306A53"/>
    <w:rsid w:val="0031056F"/>
    <w:rsid w:val="00313500"/>
    <w:rsid w:val="00314467"/>
    <w:rsid w:val="0031502B"/>
    <w:rsid w:val="0031520E"/>
    <w:rsid w:val="00322F75"/>
    <w:rsid w:val="00332A3C"/>
    <w:rsid w:val="003333C4"/>
    <w:rsid w:val="003341F2"/>
    <w:rsid w:val="003371BB"/>
    <w:rsid w:val="003417D1"/>
    <w:rsid w:val="00345DA5"/>
    <w:rsid w:val="00346481"/>
    <w:rsid w:val="00351EA9"/>
    <w:rsid w:val="003531ED"/>
    <w:rsid w:val="00355EA4"/>
    <w:rsid w:val="00366191"/>
    <w:rsid w:val="00381974"/>
    <w:rsid w:val="00383D04"/>
    <w:rsid w:val="00392A87"/>
    <w:rsid w:val="00393EDB"/>
    <w:rsid w:val="00394A40"/>
    <w:rsid w:val="00395E5F"/>
    <w:rsid w:val="003A491F"/>
    <w:rsid w:val="003B17EE"/>
    <w:rsid w:val="003B4FD3"/>
    <w:rsid w:val="003B5F70"/>
    <w:rsid w:val="003B791A"/>
    <w:rsid w:val="003C5CA5"/>
    <w:rsid w:val="003D73D3"/>
    <w:rsid w:val="003E35DD"/>
    <w:rsid w:val="003E43B4"/>
    <w:rsid w:val="003E5B32"/>
    <w:rsid w:val="003E70A9"/>
    <w:rsid w:val="003F67F6"/>
    <w:rsid w:val="003F728F"/>
    <w:rsid w:val="00413013"/>
    <w:rsid w:val="00417E63"/>
    <w:rsid w:val="004250AB"/>
    <w:rsid w:val="00426301"/>
    <w:rsid w:val="00430518"/>
    <w:rsid w:val="00450935"/>
    <w:rsid w:val="00452933"/>
    <w:rsid w:val="00457999"/>
    <w:rsid w:val="00460237"/>
    <w:rsid w:val="0046069F"/>
    <w:rsid w:val="0048046D"/>
    <w:rsid w:val="00480598"/>
    <w:rsid w:val="00480DE3"/>
    <w:rsid w:val="00481ACE"/>
    <w:rsid w:val="00490450"/>
    <w:rsid w:val="0049225C"/>
    <w:rsid w:val="004A3FDF"/>
    <w:rsid w:val="004B3CC8"/>
    <w:rsid w:val="004B7CA8"/>
    <w:rsid w:val="004B7CDD"/>
    <w:rsid w:val="004C0D05"/>
    <w:rsid w:val="004C6E42"/>
    <w:rsid w:val="004D3184"/>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BC9"/>
    <w:rsid w:val="00554DAE"/>
    <w:rsid w:val="00554E2E"/>
    <w:rsid w:val="00557434"/>
    <w:rsid w:val="00557A49"/>
    <w:rsid w:val="0056464E"/>
    <w:rsid w:val="005649D7"/>
    <w:rsid w:val="00564E1C"/>
    <w:rsid w:val="00573C0A"/>
    <w:rsid w:val="00574EA1"/>
    <w:rsid w:val="005833CF"/>
    <w:rsid w:val="0058374F"/>
    <w:rsid w:val="00585369"/>
    <w:rsid w:val="005868D4"/>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05AB"/>
    <w:rsid w:val="005E2681"/>
    <w:rsid w:val="005E3505"/>
    <w:rsid w:val="005E55C1"/>
    <w:rsid w:val="005E75B3"/>
    <w:rsid w:val="005F01C5"/>
    <w:rsid w:val="005F0BE9"/>
    <w:rsid w:val="00604AFD"/>
    <w:rsid w:val="00604BC3"/>
    <w:rsid w:val="00606CD5"/>
    <w:rsid w:val="00611836"/>
    <w:rsid w:val="00612394"/>
    <w:rsid w:val="00612A02"/>
    <w:rsid w:val="00613DA9"/>
    <w:rsid w:val="00615775"/>
    <w:rsid w:val="00622B7C"/>
    <w:rsid w:val="00631DD5"/>
    <w:rsid w:val="006457ED"/>
    <w:rsid w:val="00646DF1"/>
    <w:rsid w:val="00647440"/>
    <w:rsid w:val="0065399E"/>
    <w:rsid w:val="00657F57"/>
    <w:rsid w:val="00660921"/>
    <w:rsid w:val="00661CC0"/>
    <w:rsid w:val="00662F33"/>
    <w:rsid w:val="00666557"/>
    <w:rsid w:val="00666EE3"/>
    <w:rsid w:val="00666F40"/>
    <w:rsid w:val="00674F57"/>
    <w:rsid w:val="006865A4"/>
    <w:rsid w:val="00697C57"/>
    <w:rsid w:val="006A6D04"/>
    <w:rsid w:val="006A72FA"/>
    <w:rsid w:val="006A7E29"/>
    <w:rsid w:val="006B04C7"/>
    <w:rsid w:val="006B4E5E"/>
    <w:rsid w:val="006C3436"/>
    <w:rsid w:val="006D17AB"/>
    <w:rsid w:val="006D1B0C"/>
    <w:rsid w:val="006E08C9"/>
    <w:rsid w:val="006E6CFD"/>
    <w:rsid w:val="006F63A2"/>
    <w:rsid w:val="00700568"/>
    <w:rsid w:val="00702054"/>
    <w:rsid w:val="00714027"/>
    <w:rsid w:val="007253CC"/>
    <w:rsid w:val="00731650"/>
    <w:rsid w:val="00732A02"/>
    <w:rsid w:val="00732EC4"/>
    <w:rsid w:val="00750936"/>
    <w:rsid w:val="007525F2"/>
    <w:rsid w:val="007526C8"/>
    <w:rsid w:val="00752984"/>
    <w:rsid w:val="00753809"/>
    <w:rsid w:val="0076068D"/>
    <w:rsid w:val="00761477"/>
    <w:rsid w:val="00764D0E"/>
    <w:rsid w:val="00766395"/>
    <w:rsid w:val="0076793E"/>
    <w:rsid w:val="0077120C"/>
    <w:rsid w:val="00774483"/>
    <w:rsid w:val="00775735"/>
    <w:rsid w:val="007766F3"/>
    <w:rsid w:val="00777BDB"/>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2C50"/>
    <w:rsid w:val="008443BF"/>
    <w:rsid w:val="00850496"/>
    <w:rsid w:val="00851472"/>
    <w:rsid w:val="00855C76"/>
    <w:rsid w:val="0086485B"/>
    <w:rsid w:val="00873CC8"/>
    <w:rsid w:val="00874EB2"/>
    <w:rsid w:val="008750BF"/>
    <w:rsid w:val="00881594"/>
    <w:rsid w:val="00882762"/>
    <w:rsid w:val="008901A8"/>
    <w:rsid w:val="00893061"/>
    <w:rsid w:val="00897B70"/>
    <w:rsid w:val="008A11E5"/>
    <w:rsid w:val="008A4C32"/>
    <w:rsid w:val="008B49AE"/>
    <w:rsid w:val="008D53BD"/>
    <w:rsid w:val="008E094F"/>
    <w:rsid w:val="008E2144"/>
    <w:rsid w:val="008E7C56"/>
    <w:rsid w:val="008F1C6E"/>
    <w:rsid w:val="008F1D04"/>
    <w:rsid w:val="008F4491"/>
    <w:rsid w:val="008F7DF6"/>
    <w:rsid w:val="009104D9"/>
    <w:rsid w:val="00911091"/>
    <w:rsid w:val="00911469"/>
    <w:rsid w:val="00922D5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87672"/>
    <w:rsid w:val="009953FD"/>
    <w:rsid w:val="009973B4"/>
    <w:rsid w:val="009A46D4"/>
    <w:rsid w:val="009A5C98"/>
    <w:rsid w:val="009B0B5E"/>
    <w:rsid w:val="009B166F"/>
    <w:rsid w:val="009B2E57"/>
    <w:rsid w:val="009B5BA0"/>
    <w:rsid w:val="009C739F"/>
    <w:rsid w:val="009D0224"/>
    <w:rsid w:val="009D2FCD"/>
    <w:rsid w:val="009D4A7C"/>
    <w:rsid w:val="009F648E"/>
    <w:rsid w:val="00A00619"/>
    <w:rsid w:val="00A0737E"/>
    <w:rsid w:val="00A16EBC"/>
    <w:rsid w:val="00A429A0"/>
    <w:rsid w:val="00A47744"/>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05DE1"/>
    <w:rsid w:val="00B15609"/>
    <w:rsid w:val="00B16E3F"/>
    <w:rsid w:val="00B22CA6"/>
    <w:rsid w:val="00B233D6"/>
    <w:rsid w:val="00B4242D"/>
    <w:rsid w:val="00B5307B"/>
    <w:rsid w:val="00B5372D"/>
    <w:rsid w:val="00B57734"/>
    <w:rsid w:val="00B609B3"/>
    <w:rsid w:val="00B62623"/>
    <w:rsid w:val="00B651C4"/>
    <w:rsid w:val="00B66370"/>
    <w:rsid w:val="00B80131"/>
    <w:rsid w:val="00B860F4"/>
    <w:rsid w:val="00B902F5"/>
    <w:rsid w:val="00B93973"/>
    <w:rsid w:val="00B94994"/>
    <w:rsid w:val="00B979F0"/>
    <w:rsid w:val="00B97B4B"/>
    <w:rsid w:val="00BB60AA"/>
    <w:rsid w:val="00BB6242"/>
    <w:rsid w:val="00BC6A77"/>
    <w:rsid w:val="00BD0053"/>
    <w:rsid w:val="00BD2560"/>
    <w:rsid w:val="00BD2E2E"/>
    <w:rsid w:val="00BE1401"/>
    <w:rsid w:val="00BE1EE3"/>
    <w:rsid w:val="00BE3CC4"/>
    <w:rsid w:val="00BE6ABF"/>
    <w:rsid w:val="00BF2BA4"/>
    <w:rsid w:val="00BF36CD"/>
    <w:rsid w:val="00C036E4"/>
    <w:rsid w:val="00C05FF6"/>
    <w:rsid w:val="00C06D0F"/>
    <w:rsid w:val="00C12A8C"/>
    <w:rsid w:val="00C15766"/>
    <w:rsid w:val="00C16DF1"/>
    <w:rsid w:val="00C254C6"/>
    <w:rsid w:val="00C33293"/>
    <w:rsid w:val="00C36583"/>
    <w:rsid w:val="00C36CB6"/>
    <w:rsid w:val="00C40C8F"/>
    <w:rsid w:val="00C41FE3"/>
    <w:rsid w:val="00C43603"/>
    <w:rsid w:val="00C43B3C"/>
    <w:rsid w:val="00C45BF7"/>
    <w:rsid w:val="00C45EE2"/>
    <w:rsid w:val="00C5110F"/>
    <w:rsid w:val="00C611CF"/>
    <w:rsid w:val="00C63EBD"/>
    <w:rsid w:val="00C734F6"/>
    <w:rsid w:val="00C7612C"/>
    <w:rsid w:val="00C86531"/>
    <w:rsid w:val="00C90F3C"/>
    <w:rsid w:val="00C915D7"/>
    <w:rsid w:val="00C950F7"/>
    <w:rsid w:val="00CA00BE"/>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0E48"/>
    <w:rsid w:val="00CE5B0C"/>
    <w:rsid w:val="00CE7AF3"/>
    <w:rsid w:val="00CE7E47"/>
    <w:rsid w:val="00CF27F3"/>
    <w:rsid w:val="00CF3C0E"/>
    <w:rsid w:val="00D01EC1"/>
    <w:rsid w:val="00D04A0B"/>
    <w:rsid w:val="00D1401F"/>
    <w:rsid w:val="00D14218"/>
    <w:rsid w:val="00D1511A"/>
    <w:rsid w:val="00D15242"/>
    <w:rsid w:val="00D1645B"/>
    <w:rsid w:val="00D228AF"/>
    <w:rsid w:val="00D240D3"/>
    <w:rsid w:val="00D338B6"/>
    <w:rsid w:val="00D33FC3"/>
    <w:rsid w:val="00D378E4"/>
    <w:rsid w:val="00D40780"/>
    <w:rsid w:val="00D56740"/>
    <w:rsid w:val="00D645E2"/>
    <w:rsid w:val="00D679E1"/>
    <w:rsid w:val="00D72380"/>
    <w:rsid w:val="00D74984"/>
    <w:rsid w:val="00D84E94"/>
    <w:rsid w:val="00D854FC"/>
    <w:rsid w:val="00D8626B"/>
    <w:rsid w:val="00D94E4D"/>
    <w:rsid w:val="00DA01F8"/>
    <w:rsid w:val="00DA1442"/>
    <w:rsid w:val="00DA14C4"/>
    <w:rsid w:val="00DA2194"/>
    <w:rsid w:val="00DA289C"/>
    <w:rsid w:val="00DA7036"/>
    <w:rsid w:val="00DC074A"/>
    <w:rsid w:val="00DC74C8"/>
    <w:rsid w:val="00DC7BBE"/>
    <w:rsid w:val="00DD59DF"/>
    <w:rsid w:val="00DE1FB1"/>
    <w:rsid w:val="00DE3755"/>
    <w:rsid w:val="00DE7F59"/>
    <w:rsid w:val="00DF01A2"/>
    <w:rsid w:val="00DF0BCF"/>
    <w:rsid w:val="00DF2D26"/>
    <w:rsid w:val="00DF79C4"/>
    <w:rsid w:val="00E00148"/>
    <w:rsid w:val="00E04914"/>
    <w:rsid w:val="00E067BB"/>
    <w:rsid w:val="00E17034"/>
    <w:rsid w:val="00E17D55"/>
    <w:rsid w:val="00E22948"/>
    <w:rsid w:val="00E27F06"/>
    <w:rsid w:val="00E30A70"/>
    <w:rsid w:val="00E433F9"/>
    <w:rsid w:val="00E43D93"/>
    <w:rsid w:val="00E44B83"/>
    <w:rsid w:val="00E50079"/>
    <w:rsid w:val="00E524E1"/>
    <w:rsid w:val="00E53B5E"/>
    <w:rsid w:val="00E57B8D"/>
    <w:rsid w:val="00E62278"/>
    <w:rsid w:val="00E632DD"/>
    <w:rsid w:val="00E67060"/>
    <w:rsid w:val="00E7295C"/>
    <w:rsid w:val="00E72F26"/>
    <w:rsid w:val="00E80643"/>
    <w:rsid w:val="00E845AA"/>
    <w:rsid w:val="00E864FA"/>
    <w:rsid w:val="00E909C1"/>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126"/>
    <w:rsid w:val="00ED68CA"/>
    <w:rsid w:val="00EE0979"/>
    <w:rsid w:val="00EE2727"/>
    <w:rsid w:val="00EE34DC"/>
    <w:rsid w:val="00EE5874"/>
    <w:rsid w:val="00EE61F3"/>
    <w:rsid w:val="00EF0179"/>
    <w:rsid w:val="00EF28B0"/>
    <w:rsid w:val="00EF46C2"/>
    <w:rsid w:val="00EF7D2F"/>
    <w:rsid w:val="00F01BE0"/>
    <w:rsid w:val="00F024D6"/>
    <w:rsid w:val="00F113ED"/>
    <w:rsid w:val="00F11FDD"/>
    <w:rsid w:val="00F121BF"/>
    <w:rsid w:val="00F21D10"/>
    <w:rsid w:val="00F22904"/>
    <w:rsid w:val="00F26049"/>
    <w:rsid w:val="00F27F2E"/>
    <w:rsid w:val="00F34101"/>
    <w:rsid w:val="00F46DF0"/>
    <w:rsid w:val="00F47EFD"/>
    <w:rsid w:val="00F5669B"/>
    <w:rsid w:val="00F6208E"/>
    <w:rsid w:val="00F67D59"/>
    <w:rsid w:val="00F7089F"/>
    <w:rsid w:val="00F76498"/>
    <w:rsid w:val="00F80BE0"/>
    <w:rsid w:val="00F84F0F"/>
    <w:rsid w:val="00F86EB6"/>
    <w:rsid w:val="00F90FCB"/>
    <w:rsid w:val="00F95289"/>
    <w:rsid w:val="00F95C29"/>
    <w:rsid w:val="00F960FB"/>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8"/>
    <w:uiPriority w:val="99"/>
    <w:semiHidden/>
    <w:unhideWhenUsed/>
    <w:rsid w:val="00554BC9"/>
  </w:style>
  <w:style w:type="table" w:customStyle="1" w:styleId="60">
    <w:name w:val="Сетка таблицы6"/>
    <w:basedOn w:val="a7"/>
    <w:next w:val="af9"/>
    <w:uiPriority w:val="39"/>
    <w:rsid w:val="00554B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6"/>
    <w:uiPriority w:val="99"/>
    <w:semiHidden/>
    <w:unhideWhenUsed/>
    <w:rsid w:val="00554BC9"/>
  </w:style>
  <w:style w:type="character" w:styleId="aff9">
    <w:name w:val="FollowedHyperlink"/>
    <w:basedOn w:val="a6"/>
    <w:uiPriority w:val="99"/>
    <w:semiHidden/>
    <w:unhideWhenUsed/>
    <w:rsid w:val="00554BC9"/>
    <w:rPr>
      <w:color w:val="800080"/>
      <w:u w:val="single"/>
    </w:rPr>
  </w:style>
  <w:style w:type="paragraph" w:customStyle="1" w:styleId="xl65">
    <w:name w:val="xl65"/>
    <w:basedOn w:val="a5"/>
    <w:rsid w:val="00554BC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54BC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54BC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554BC9"/>
    <w:pPr>
      <w:spacing w:before="100" w:beforeAutospacing="1" w:after="100" w:afterAutospacing="1"/>
      <w:jc w:val="left"/>
    </w:pPr>
    <w:rPr>
      <w:rFonts w:eastAsia="Times New Roman"/>
      <w:sz w:val="24"/>
      <w:szCs w:val="24"/>
      <w:lang w:eastAsia="ru-RU"/>
    </w:rPr>
  </w:style>
  <w:style w:type="paragraph" w:customStyle="1" w:styleId="xl69">
    <w:name w:val="xl69"/>
    <w:basedOn w:val="a5"/>
    <w:rsid w:val="00554BC9"/>
    <w:pPr>
      <w:spacing w:before="100" w:beforeAutospacing="1" w:after="100" w:afterAutospacing="1"/>
      <w:jc w:val="left"/>
    </w:pPr>
    <w:rPr>
      <w:rFonts w:eastAsia="Times New Roman"/>
      <w:sz w:val="24"/>
      <w:szCs w:val="24"/>
      <w:lang w:eastAsia="ru-RU"/>
    </w:rPr>
  </w:style>
  <w:style w:type="paragraph" w:customStyle="1" w:styleId="xl70">
    <w:name w:val="xl70"/>
    <w:basedOn w:val="a5"/>
    <w:rsid w:val="00554BC9"/>
    <w:pPr>
      <w:spacing w:before="100" w:beforeAutospacing="1" w:after="100" w:afterAutospacing="1"/>
      <w:jc w:val="left"/>
      <w:textAlignment w:val="center"/>
    </w:pPr>
    <w:rPr>
      <w:rFonts w:eastAsia="Times New Roman"/>
      <w:sz w:val="24"/>
      <w:szCs w:val="24"/>
      <w:lang w:eastAsia="ru-RU"/>
    </w:rPr>
  </w:style>
  <w:style w:type="paragraph" w:customStyle="1" w:styleId="xl71">
    <w:name w:val="xl71"/>
    <w:basedOn w:val="a5"/>
    <w:rsid w:val="00554BC9"/>
    <w:pPr>
      <w:spacing w:before="100" w:beforeAutospacing="1" w:after="100" w:afterAutospacing="1"/>
      <w:jc w:val="left"/>
    </w:pPr>
    <w:rPr>
      <w:rFonts w:ascii="Calibri" w:eastAsia="Times New Roman" w:hAnsi="Calibri" w:cs="Calibri"/>
      <w:color w:val="0000FF"/>
      <w:sz w:val="24"/>
      <w:szCs w:val="24"/>
      <w:u w:val="single"/>
      <w:lang w:eastAsia="ru-RU"/>
    </w:rPr>
  </w:style>
  <w:style w:type="paragraph" w:customStyle="1" w:styleId="xl72">
    <w:name w:val="xl72"/>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eastAsia="Times New Roman"/>
      <w:color w:val="0000FF"/>
      <w:sz w:val="24"/>
      <w:szCs w:val="24"/>
      <w:u w:val="single"/>
      <w:lang w:eastAsia="ru-RU"/>
    </w:rPr>
  </w:style>
  <w:style w:type="paragraph" w:customStyle="1" w:styleId="xl74">
    <w:name w:val="xl74"/>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5">
    <w:name w:val="xl75"/>
    <w:basedOn w:val="a5"/>
    <w:rsid w:val="00554BC9"/>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6">
    <w:name w:val="xl76"/>
    <w:basedOn w:val="a5"/>
    <w:rsid w:val="00554BC9"/>
    <w:pPr>
      <w:spacing w:before="100" w:beforeAutospacing="1" w:after="100" w:afterAutospacing="1"/>
      <w:jc w:val="left"/>
    </w:pPr>
    <w:rPr>
      <w:rFonts w:eastAsia="Times New Roman"/>
      <w:color w:val="0000FF"/>
      <w:sz w:val="24"/>
      <w:szCs w:val="24"/>
      <w:u w:val="single"/>
      <w:lang w:eastAsia="ru-RU"/>
    </w:rPr>
  </w:style>
  <w:style w:type="paragraph" w:customStyle="1" w:styleId="xl77">
    <w:name w:val="xl77"/>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color w:val="0000FF"/>
      <w:sz w:val="24"/>
      <w:szCs w:val="24"/>
      <w:u w:val="single"/>
      <w:lang w:eastAsia="ru-RU"/>
    </w:rPr>
  </w:style>
  <w:style w:type="paragraph" w:customStyle="1" w:styleId="xl78">
    <w:name w:val="xl7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79">
    <w:name w:val="xl79"/>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0">
    <w:name w:val="xl80"/>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sz w:val="28"/>
      <w:szCs w:val="28"/>
      <w:lang w:eastAsia="ru-RU"/>
    </w:rPr>
  </w:style>
  <w:style w:type="paragraph" w:customStyle="1" w:styleId="xl81">
    <w:name w:val="xl81"/>
    <w:basedOn w:val="a5"/>
    <w:rsid w:val="00554BC9"/>
    <w:pPr>
      <w:pBdr>
        <w:top w:val="single" w:sz="4" w:space="0" w:color="auto"/>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2">
    <w:name w:val="xl82"/>
    <w:basedOn w:val="a5"/>
    <w:rsid w:val="00554BC9"/>
    <w:pPr>
      <w:pBdr>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3">
    <w:name w:val="xl83"/>
    <w:basedOn w:val="a5"/>
    <w:rsid w:val="00554BC9"/>
    <w:pPr>
      <w:pBdr>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4">
    <w:name w:val="xl84"/>
    <w:basedOn w:val="a5"/>
    <w:rsid w:val="00554BC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554BC9"/>
    <w:pPr>
      <w:pBdr>
        <w:top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0">
    <w:name w:val="xl90"/>
    <w:basedOn w:val="a5"/>
    <w:rsid w:val="00554BC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554BC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554BC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3">
    <w:name w:val="xl93"/>
    <w:basedOn w:val="a5"/>
    <w:rsid w:val="00554BC9"/>
    <w:pPr>
      <w:pBdr>
        <w:top w:val="single" w:sz="4" w:space="0" w:color="auto"/>
        <w:left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4">
    <w:name w:val="xl94"/>
    <w:basedOn w:val="a5"/>
    <w:rsid w:val="00554BC9"/>
    <w:pPr>
      <w:pBdr>
        <w:top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5">
    <w:name w:val="xl95"/>
    <w:basedOn w:val="a5"/>
    <w:rsid w:val="00554BC9"/>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6">
    <w:name w:val="xl96"/>
    <w:basedOn w:val="a5"/>
    <w:rsid w:val="00554BC9"/>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7">
    <w:name w:val="xl97"/>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98">
    <w:name w:val="xl98"/>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1">
    <w:name w:val="xl101"/>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2">
    <w:name w:val="xl102"/>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3">
    <w:name w:val="xl103"/>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4">
    <w:name w:val="xl104"/>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5">
    <w:name w:val="xl105"/>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6">
    <w:name w:val="xl106"/>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7">
    <w:name w:val="xl107"/>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8">
    <w:name w:val="xl10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9">
    <w:name w:val="xl109"/>
    <w:basedOn w:val="a5"/>
    <w:rsid w:val="00554BC9"/>
    <w:pPr>
      <w:pBdr>
        <w:top w:val="single" w:sz="4" w:space="0" w:color="auto"/>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0">
    <w:name w:val="xl110"/>
    <w:basedOn w:val="a5"/>
    <w:rsid w:val="00554BC9"/>
    <w:pPr>
      <w:pBdr>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1">
    <w:name w:val="xl111"/>
    <w:basedOn w:val="a5"/>
    <w:rsid w:val="00554BC9"/>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2">
    <w:name w:val="xl112"/>
    <w:basedOn w:val="a5"/>
    <w:rsid w:val="00554BC9"/>
    <w:pPr>
      <w:pBdr>
        <w:top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174343901">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0503729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2503229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855391371">
      <w:bodyDiv w:val="1"/>
      <w:marLeft w:val="0"/>
      <w:marRight w:val="0"/>
      <w:marTop w:val="0"/>
      <w:marBottom w:val="0"/>
      <w:divBdr>
        <w:top w:val="none" w:sz="0" w:space="0" w:color="auto"/>
        <w:left w:val="none" w:sz="0" w:space="0" w:color="auto"/>
        <w:bottom w:val="none" w:sz="0" w:space="0" w:color="auto"/>
        <w:right w:val="none" w:sz="0" w:space="0" w:color="auto"/>
      </w:divBdr>
    </w:div>
    <w:div w:id="922879825">
      <w:bodyDiv w:val="1"/>
      <w:marLeft w:val="0"/>
      <w:marRight w:val="0"/>
      <w:marTop w:val="0"/>
      <w:marBottom w:val="0"/>
      <w:divBdr>
        <w:top w:val="none" w:sz="0" w:space="0" w:color="auto"/>
        <w:left w:val="none" w:sz="0" w:space="0" w:color="auto"/>
        <w:bottom w:val="none" w:sz="0" w:space="0" w:color="auto"/>
        <w:right w:val="none" w:sz="0" w:space="0" w:color="auto"/>
      </w:divBdr>
    </w:div>
    <w:div w:id="924728653">
      <w:bodyDiv w:val="1"/>
      <w:marLeft w:val="0"/>
      <w:marRight w:val="0"/>
      <w:marTop w:val="0"/>
      <w:marBottom w:val="0"/>
      <w:divBdr>
        <w:top w:val="none" w:sz="0" w:space="0" w:color="auto"/>
        <w:left w:val="none" w:sz="0" w:space="0" w:color="auto"/>
        <w:bottom w:val="none" w:sz="0" w:space="0" w:color="auto"/>
        <w:right w:val="none" w:sz="0" w:space="0" w:color="auto"/>
      </w:divBdr>
    </w:div>
    <w:div w:id="943850882">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751341821">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1861122055">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etnod32.ru/business/products/esmc/"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504C1-8C42-441E-A333-12D3F76B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108</Pages>
  <Words>31040</Words>
  <Characters>176932</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Боярова Анна Афанасьевна</cp:lastModifiedBy>
  <cp:revision>83</cp:revision>
  <cp:lastPrinted>2021-01-15T01:03:00Z</cp:lastPrinted>
  <dcterms:created xsi:type="dcterms:W3CDTF">2020-11-12T00:51:00Z</dcterms:created>
  <dcterms:modified xsi:type="dcterms:W3CDTF">2021-03-22T01:50:00Z</dcterms:modified>
</cp:coreProperties>
</file>