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16D4C"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0D0A32">
        <w:rPr>
          <w:bCs/>
          <w:iCs/>
        </w:rPr>
        <w:t>дезинфицирующих средств</w:t>
      </w:r>
      <w:r w:rsidR="000D0A32" w:rsidRPr="00E3137C">
        <w:t xml:space="preserve"> </w:t>
      </w:r>
      <w:r w:rsidR="00E3137C" w:rsidRPr="00E3137C">
        <w:t xml:space="preserve">для </w:t>
      </w:r>
    </w:p>
    <w:p w:rsidR="00737F90" w:rsidRPr="001B3D7E" w:rsidRDefault="00E3137C" w:rsidP="00737F90">
      <w:pPr>
        <w:spacing w:after="240" w:line="276" w:lineRule="auto"/>
        <w:contextualSpacing/>
        <w:jc w:val="center"/>
      </w:pPr>
      <w:r w:rsidRPr="00E3137C">
        <w:t>АН ДОО "</w:t>
      </w:r>
      <w:proofErr w:type="spellStart"/>
      <w:r w:rsidRPr="00E3137C">
        <w:t>Алмазик</w:t>
      </w:r>
      <w:proofErr w:type="spellEnd"/>
      <w:r w:rsidRPr="00E3137C">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7F0E9B">
          <w:rPr>
            <w:noProof/>
            <w:webHidden/>
          </w:rPr>
          <w:t>4</w:t>
        </w:r>
        <w:r w:rsidR="00650B5C">
          <w:rPr>
            <w:noProof/>
            <w:webHidden/>
          </w:rPr>
          <w:fldChar w:fldCharType="end"/>
        </w:r>
      </w:hyperlink>
    </w:p>
    <w:p w:rsidR="00650B5C" w:rsidRDefault="007F0E9B">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Pr>
            <w:noProof/>
            <w:webHidden/>
          </w:rPr>
          <w:t>6</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Pr>
            <w:noProof/>
            <w:webHidden/>
          </w:rPr>
          <w:t>26</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Pr>
            <w:noProof/>
            <w:webHidden/>
          </w:rPr>
          <w:t>27</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Pr>
            <w:noProof/>
            <w:webHidden/>
          </w:rPr>
          <w:t>28</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Pr>
            <w:noProof/>
            <w:webHidden/>
          </w:rPr>
          <w:t>29</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Pr>
            <w:noProof/>
            <w:webHidden/>
          </w:rPr>
          <w:t>30</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Pr>
            <w:noProof/>
            <w:webHidden/>
          </w:rPr>
          <w:t>39</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Pr>
            <w:noProof/>
            <w:webHidden/>
          </w:rPr>
          <w:t>46</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Pr>
            <w:noProof/>
            <w:webHidden/>
          </w:rPr>
          <w:t>47</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Pr>
            <w:noProof/>
            <w:webHidden/>
          </w:rPr>
          <w:t>48</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Pr>
            <w:noProof/>
            <w:webHidden/>
          </w:rPr>
          <w:t>52</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Pr>
            <w:noProof/>
            <w:webHidden/>
          </w:rPr>
          <w:t>55</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Pr>
            <w:noProof/>
            <w:webHidden/>
          </w:rPr>
          <w:t>56</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Pr>
            <w:noProof/>
            <w:webHidden/>
          </w:rPr>
          <w:t>58</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Pr>
            <w:noProof/>
            <w:webHidden/>
          </w:rPr>
          <w:t>64</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Pr>
            <w:noProof/>
            <w:webHidden/>
          </w:rPr>
          <w:t>69</w:t>
        </w:r>
        <w:r w:rsidR="00650B5C">
          <w:rPr>
            <w:noProof/>
            <w:webHidden/>
          </w:rPr>
          <w:fldChar w:fldCharType="end"/>
        </w:r>
      </w:hyperlink>
    </w:p>
    <w:p w:rsidR="00650B5C" w:rsidRDefault="007F0E9B">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7F0E9B">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Pr>
            <w:noProof/>
            <w:webHidden/>
          </w:rPr>
          <w:t>72</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Pr>
            <w:noProof/>
            <w:webHidden/>
          </w:rPr>
          <w:t>73</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Pr>
            <w:noProof/>
            <w:webHidden/>
          </w:rPr>
          <w:t>74</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Pr>
            <w:noProof/>
            <w:webHidden/>
          </w:rPr>
          <w:t>76</w:t>
        </w:r>
        <w:r w:rsidR="00650B5C">
          <w:rPr>
            <w:noProof/>
            <w:webHidden/>
          </w:rPr>
          <w:fldChar w:fldCharType="end"/>
        </w:r>
      </w:hyperlink>
    </w:p>
    <w:p w:rsidR="00650B5C" w:rsidRDefault="007F0E9B">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Pr>
            <w:noProof/>
            <w:webHidden/>
          </w:rPr>
          <w:t>77</w:t>
        </w:r>
        <w:r w:rsidR="00650B5C">
          <w:rPr>
            <w:noProof/>
            <w:webHidden/>
          </w:rPr>
          <w:fldChar w:fldCharType="end"/>
        </w:r>
      </w:hyperlink>
    </w:p>
    <w:p w:rsidR="00650B5C" w:rsidRDefault="007F0E9B">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7F0E9B">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293927">
        <w:rPr>
          <w:rStyle w:val="af6"/>
          <w:noProof/>
          <w:color w:val="auto"/>
          <w:u w:val="none"/>
        </w:rPr>
        <w:t>96</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A1FD1">
        <w:rPr>
          <w:rStyle w:val="af6"/>
          <w:noProof/>
          <w:color w:val="auto"/>
          <w:u w:val="none"/>
        </w:rPr>
        <w:t xml:space="preserve">………….   </w:t>
      </w:r>
      <w:r w:rsidR="002918CF">
        <w:rPr>
          <w:rStyle w:val="af6"/>
          <w:noProof/>
          <w:color w:val="auto"/>
          <w:u w:val="none"/>
        </w:rPr>
        <w:t>97</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918CF">
        <w:rPr>
          <w:rStyle w:val="af6"/>
          <w:noProof/>
          <w:color w:val="auto"/>
          <w:u w:val="none"/>
        </w:rPr>
        <w:t>…..………..105</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F0E9B">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E76DE">
            <w:pPr>
              <w:spacing w:after="240" w:line="276" w:lineRule="auto"/>
              <w:contextualSpacing/>
              <w:jc w:val="left"/>
            </w:pPr>
            <w:r>
              <w:t>Поставка</w:t>
            </w:r>
            <w:r w:rsidRPr="001B3D7E">
              <w:t xml:space="preserve"> </w:t>
            </w:r>
            <w:r w:rsidR="000D0A32" w:rsidRPr="000D0A32">
              <w:rPr>
                <w:bCs/>
                <w:iCs/>
              </w:rPr>
              <w:t xml:space="preserve">дезинфицирующих средств </w:t>
            </w:r>
            <w:r w:rsidR="00B40749" w:rsidRPr="00B40749">
              <w:rPr>
                <w:bCs/>
                <w:iCs/>
              </w:rPr>
              <w:t>для</w:t>
            </w:r>
            <w:r w:rsidR="00CE76DE">
              <w:rPr>
                <w:bCs/>
                <w:iCs/>
              </w:rPr>
              <w:t xml:space="preserve"> </w:t>
            </w:r>
            <w:r w:rsidR="00B40749" w:rsidRPr="00B40749">
              <w:rPr>
                <w:bCs/>
                <w:iCs/>
              </w:rPr>
              <w:t>АН ДОО "</w:t>
            </w:r>
            <w:proofErr w:type="spellStart"/>
            <w:r w:rsidR="00B40749" w:rsidRPr="00B40749">
              <w:rPr>
                <w:bCs/>
                <w:iCs/>
              </w:rPr>
              <w:t>Алмазик</w:t>
            </w:r>
            <w:proofErr w:type="spellEnd"/>
            <w:r w:rsidR="00B40749" w:rsidRPr="00B40749">
              <w:rPr>
                <w:bCs/>
                <w:iCs/>
              </w:rP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0D0A32">
              <w:t>): Ефимова</w:t>
            </w:r>
            <w:r w:rsidR="00CE76DE">
              <w:t xml:space="preserve">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7F0E9B">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0D0A32">
            <w:pPr>
              <w:spacing w:before="60" w:after="60"/>
            </w:pPr>
            <w:r>
              <w:t xml:space="preserve">До </w:t>
            </w:r>
            <w:r w:rsidR="000D0A32">
              <w:t>15</w:t>
            </w:r>
            <w:r w:rsidR="00B40749">
              <w:t>.</w:t>
            </w:r>
            <w:r w:rsidR="000D0A32">
              <w:t>10</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0D0A32" w:rsidP="000D0A32">
            <w:pPr>
              <w:spacing w:before="0"/>
              <w:rPr>
                <w:highlight w:val="yellow"/>
              </w:rPr>
            </w:pPr>
            <w:r>
              <w:t>654 538,00</w:t>
            </w:r>
            <w:r w:rsidR="00B40749" w:rsidRPr="007A5590">
              <w:t xml:space="preserve"> (</w:t>
            </w:r>
            <w:r>
              <w:t>шестьсот пятьдесят четыре тысячи пятьсот тридцать восемь</w:t>
            </w:r>
            <w:r w:rsidR="00B40749" w:rsidRPr="007A5590">
              <w:t xml:space="preserve">) рублей </w:t>
            </w:r>
            <w:r>
              <w:t>00</w:t>
            </w:r>
            <w:r w:rsidR="00B40749" w:rsidRPr="007A5590">
              <w:t xml:space="preserve"> копе</w:t>
            </w:r>
            <w:r w:rsidR="00B40749">
              <w:t>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0D0A32">
            <w:pPr>
              <w:spacing w:before="60" w:after="60"/>
              <w:rPr>
                <w:i/>
                <w:highlight w:val="yellow"/>
              </w:rPr>
            </w:pPr>
            <w:r>
              <w:t xml:space="preserve">с </w:t>
            </w:r>
            <w:r w:rsidR="000D0A32">
              <w:t>22</w:t>
            </w:r>
            <w:r w:rsidR="00B40749" w:rsidRPr="00B40749">
              <w:t>.0</w:t>
            </w:r>
            <w:r w:rsidR="000D0A32">
              <w:t>7.2021 по 04</w:t>
            </w:r>
            <w:r w:rsidR="00B40749" w:rsidRPr="00B40749">
              <w:t>.0</w:t>
            </w:r>
            <w:r w:rsidR="000D0A32">
              <w:t>8</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0D0A32">
            <w:pPr>
              <w:spacing w:before="60" w:after="60"/>
            </w:pPr>
            <w:r>
              <w:t xml:space="preserve">с </w:t>
            </w:r>
            <w:r w:rsidR="000D0A32">
              <w:t>22</w:t>
            </w:r>
            <w:r w:rsidR="00CE76DE">
              <w:t xml:space="preserve">.07.2021 по </w:t>
            </w:r>
            <w:r w:rsidR="000D0A32">
              <w:t>04</w:t>
            </w:r>
            <w:r w:rsidR="00B40749" w:rsidRPr="00B40749">
              <w:t>.0</w:t>
            </w:r>
            <w:r w:rsidR="000D0A32">
              <w:t>8</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0D0A32">
              <w:t>05</w:t>
            </w:r>
            <w:r w:rsidR="00B40749" w:rsidRPr="00B40749">
              <w:t>.0</w:t>
            </w:r>
            <w:r w:rsidR="00CE76DE">
              <w:t>8</w:t>
            </w:r>
            <w:r w:rsidR="00B40749" w:rsidRPr="00B40749">
              <w:t>.2021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CE76DE">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0D0A32">
              <w:t>10</w:t>
            </w:r>
            <w:r w:rsidR="000C5172">
              <w:t>.</w:t>
            </w:r>
            <w:r w:rsidR="00DD63A5">
              <w:t>0</w:t>
            </w:r>
            <w:r w:rsidR="00CE76DE">
              <w:t>8</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CE76DE">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C23E97">
              <w:rPr>
                <w:szCs w:val="24"/>
              </w:rPr>
              <w:t>12</w:t>
            </w:r>
            <w:r w:rsidR="00B40749" w:rsidRPr="00B40749">
              <w:rPr>
                <w:szCs w:val="24"/>
              </w:rPr>
              <w:t>.0</w:t>
            </w:r>
            <w:r w:rsidR="00B40749">
              <w:rPr>
                <w:szCs w:val="24"/>
              </w:rPr>
              <w:t>8</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F32B62" w:rsidRPr="00F32B62">
        <w:rPr>
          <w:b/>
          <w:color w:val="000000" w:themeColor="text1"/>
          <w:sz w:val="24"/>
          <w:szCs w:val="24"/>
        </w:rPr>
        <w:t>Ч.В. Маланов</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F32B62">
        <w:rPr>
          <w:color w:val="000000" w:themeColor="text1"/>
          <w:sz w:val="18"/>
          <w:szCs w:val="18"/>
        </w:rPr>
        <w:t xml:space="preserve">       </w:t>
      </w:r>
      <w:proofErr w:type="gramStart"/>
      <w:r w:rsidR="00F32B6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7F0E9B">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7F0E9B" w:rsidRPr="007F0E9B">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7F0E9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7F0E9B">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C23E97" w:rsidRPr="00C23E97">
        <w:rPr>
          <w:rFonts w:eastAsia="Times New Roman"/>
          <w:bCs/>
          <w:iCs/>
          <w:sz w:val="24"/>
          <w:szCs w:val="24"/>
          <w:lang w:eastAsia="ru-RU"/>
        </w:rPr>
        <w:t>дезинфицирующих средств</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C23E97" w:rsidRPr="00C23E97">
        <w:rPr>
          <w:rFonts w:eastAsia="Times New Roman"/>
          <w:sz w:val="24"/>
          <w:szCs w:val="24"/>
          <w:lang w:eastAsia="ru-RU"/>
        </w:rPr>
        <w:t xml:space="preserve"> и «Технического задания»</w:t>
      </w:r>
      <w:r w:rsidR="00C23E97" w:rsidRPr="00C23E97">
        <w:rPr>
          <w:rFonts w:eastAsia="Times New Roman"/>
          <w:bCs/>
          <w:iCs/>
          <w:sz w:val="24"/>
          <w:szCs w:val="24"/>
          <w:lang w:eastAsia="ru-RU"/>
        </w:rPr>
        <w:t xml:space="preserve"> (</w:t>
      </w:r>
      <w:r w:rsidR="00C23E97" w:rsidRPr="00C23E97">
        <w:rPr>
          <w:rFonts w:eastAsia="Times New Roman"/>
          <w:sz w:val="24"/>
          <w:szCs w:val="24"/>
          <w:lang w:eastAsia="ru-RU"/>
        </w:rPr>
        <w:t>Приложение № 2 к настоящему договору, являющееся его неотъемлемой частью) далее «Товар»</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C23E97">
        <w:rPr>
          <w:rFonts w:eastAsia="Times New Roman"/>
          <w:sz w:val="24"/>
          <w:szCs w:val="24"/>
          <w:lang w:eastAsia="ru-RU"/>
        </w:rPr>
        <w:t>15</w:t>
      </w:r>
      <w:r>
        <w:rPr>
          <w:rFonts w:eastAsia="Times New Roman"/>
          <w:sz w:val="24"/>
          <w:szCs w:val="24"/>
          <w:lang w:eastAsia="ru-RU"/>
        </w:rPr>
        <w:t>.</w:t>
      </w:r>
      <w:r w:rsidR="00C23E97">
        <w:rPr>
          <w:rFonts w:eastAsia="Times New Roman"/>
          <w:sz w:val="24"/>
          <w:szCs w:val="24"/>
          <w:lang w:eastAsia="ru-RU"/>
        </w:rPr>
        <w:t>10</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 xml:space="preserve">на </w:t>
      </w:r>
      <w:r w:rsidRPr="00313EAA">
        <w:rPr>
          <w:rFonts w:eastAsia="Times New Roman"/>
          <w:iCs/>
          <w:color w:val="222222"/>
          <w:sz w:val="24"/>
          <w:szCs w:val="24"/>
          <w:lang w:eastAsia="ru-RU"/>
        </w:rPr>
        <w:lastRenderedPageBreak/>
        <w:t>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w:t>
      </w:r>
      <w:r w:rsidRPr="00313EAA">
        <w:rPr>
          <w:rFonts w:eastAsia="Times New Roman"/>
          <w:sz w:val="24"/>
          <w:szCs w:val="24"/>
          <w:lang w:eastAsia="ru-RU"/>
        </w:rPr>
        <w:lastRenderedPageBreak/>
        <w:t xml:space="preserve">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lastRenderedPageBreak/>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w:t>
      </w:r>
      <w:r w:rsidRPr="00313EAA">
        <w:rPr>
          <w:rFonts w:eastAsia="Times New Roman"/>
          <w:sz w:val="24"/>
          <w:szCs w:val="24"/>
          <w:lang w:eastAsia="ru-RU"/>
        </w:rPr>
        <w:lastRenderedPageBreak/>
        <w:t>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w:t>
      </w:r>
      <w:r w:rsidRPr="00313EAA">
        <w:rPr>
          <w:rFonts w:eastAsia="Times New Roman"/>
          <w:sz w:val="24"/>
          <w:szCs w:val="24"/>
          <w:lang w:eastAsia="ru-RU"/>
        </w:rPr>
        <w:lastRenderedPageBreak/>
        <w:t>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FC2B06" w:rsidRPr="005A1A3F" w:rsidRDefault="00FC2B06" w:rsidP="00FC2B06">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29" w:name="_Toc67580153"/>
            <w:r w:rsidRPr="005A1A3F">
              <w:rPr>
                <w:rFonts w:eastAsia="Times New Roman"/>
                <w:b/>
                <w:sz w:val="24"/>
                <w:szCs w:val="24"/>
                <w:lang w:eastAsia="ru-RU"/>
              </w:rPr>
              <w:t>ПОСТАВЩИК:</w:t>
            </w:r>
            <w:bookmarkEnd w:id="329"/>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4"/>
            <w:r w:rsidRPr="005A1A3F">
              <w:rPr>
                <w:rFonts w:eastAsia="Times New Roman"/>
                <w:b/>
                <w:sz w:val="24"/>
                <w:szCs w:val="24"/>
                <w:lang w:eastAsia="ru-RU"/>
              </w:rPr>
              <w:t>____________________</w:t>
            </w:r>
            <w:bookmarkEnd w:id="330"/>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5"/>
            <w:r w:rsidRPr="005A1A3F">
              <w:rPr>
                <w:rFonts w:eastAsia="Times New Roman"/>
                <w:b/>
                <w:sz w:val="24"/>
                <w:szCs w:val="24"/>
                <w:lang w:eastAsia="ru-RU"/>
              </w:rPr>
              <w:t>МП</w:t>
            </w:r>
            <w:bookmarkEnd w:id="331"/>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C23E97" w:rsidRPr="00C23E97" w:rsidRDefault="00C23E97" w:rsidP="00C23E97">
      <w:pPr>
        <w:spacing w:before="0" w:after="200" w:line="276" w:lineRule="auto"/>
        <w:ind w:right="566"/>
        <w:contextualSpacing/>
        <w:jc w:val="right"/>
        <w:rPr>
          <w:rFonts w:eastAsia="Calibri"/>
          <w:sz w:val="22"/>
          <w:szCs w:val="24"/>
        </w:rPr>
      </w:pPr>
      <w:r w:rsidRPr="00C23E97">
        <w:rPr>
          <w:rFonts w:eastAsia="Calibri"/>
          <w:sz w:val="22"/>
          <w:szCs w:val="24"/>
        </w:rPr>
        <w:lastRenderedPageBreak/>
        <w:t>Приложение №2</w:t>
      </w:r>
    </w:p>
    <w:p w:rsidR="00C23E97" w:rsidRPr="00C23E97" w:rsidRDefault="00C23E97" w:rsidP="00C23E97">
      <w:pPr>
        <w:spacing w:before="0" w:after="200" w:line="276" w:lineRule="auto"/>
        <w:ind w:right="566"/>
        <w:contextualSpacing/>
        <w:jc w:val="right"/>
        <w:rPr>
          <w:rFonts w:eastAsia="Calibri"/>
          <w:sz w:val="22"/>
          <w:szCs w:val="24"/>
        </w:rPr>
      </w:pPr>
      <w:r w:rsidRPr="00C23E97">
        <w:rPr>
          <w:rFonts w:eastAsia="Calibri"/>
          <w:sz w:val="22"/>
          <w:szCs w:val="24"/>
        </w:rPr>
        <w:t>К дог. № ______</w:t>
      </w:r>
    </w:p>
    <w:p w:rsidR="00C23E97" w:rsidRPr="00C23E97" w:rsidRDefault="00C23E97" w:rsidP="00C23E97">
      <w:pPr>
        <w:spacing w:before="0" w:after="200" w:line="276" w:lineRule="auto"/>
        <w:ind w:right="566"/>
        <w:contextualSpacing/>
        <w:jc w:val="right"/>
        <w:rPr>
          <w:rFonts w:eastAsia="Calibri"/>
          <w:sz w:val="22"/>
          <w:szCs w:val="24"/>
        </w:rPr>
      </w:pPr>
      <w:r w:rsidRPr="00C23E97">
        <w:rPr>
          <w:rFonts w:eastAsia="Calibri"/>
          <w:sz w:val="22"/>
          <w:szCs w:val="24"/>
        </w:rPr>
        <w:t>От «__</w:t>
      </w:r>
      <w:proofErr w:type="gramStart"/>
      <w:r w:rsidRPr="00C23E97">
        <w:rPr>
          <w:rFonts w:eastAsia="Calibri"/>
          <w:sz w:val="22"/>
          <w:szCs w:val="24"/>
        </w:rPr>
        <w:t>_»_</w:t>
      </w:r>
      <w:proofErr w:type="gramEnd"/>
      <w:r w:rsidRPr="00C23E97">
        <w:rPr>
          <w:rFonts w:eastAsia="Calibri"/>
          <w:sz w:val="22"/>
          <w:szCs w:val="24"/>
        </w:rPr>
        <w:t>_________2021г.</w:t>
      </w:r>
    </w:p>
    <w:p w:rsidR="00C23E97" w:rsidRDefault="00C23E97" w:rsidP="0082656E">
      <w:pPr>
        <w:spacing w:before="0"/>
        <w:jc w:val="center"/>
        <w:rPr>
          <w:rFonts w:eastAsia="Times New Roman"/>
          <w:b/>
          <w:sz w:val="24"/>
          <w:szCs w:val="24"/>
          <w:lang w:eastAsia="ru-RU"/>
        </w:rPr>
      </w:pPr>
    </w:p>
    <w:p w:rsidR="00C23E97" w:rsidRPr="00647307" w:rsidRDefault="002918CF" w:rsidP="00C23E97">
      <w:pPr>
        <w:jc w:val="center"/>
        <w:rPr>
          <w:rFonts w:eastAsia="Calibri"/>
          <w:b/>
          <w:sz w:val="28"/>
          <w:szCs w:val="22"/>
        </w:rPr>
      </w:pPr>
      <w:r w:rsidRPr="002918CF">
        <w:rPr>
          <w:rFonts w:eastAsia="Calibri"/>
          <w:b/>
          <w:sz w:val="28"/>
          <w:szCs w:val="22"/>
        </w:rPr>
        <w:t xml:space="preserve">Техническое задание дезинфицирующих средств для АН ДОО </w:t>
      </w:r>
      <w:r w:rsidR="00C23E97" w:rsidRPr="00647307">
        <w:rPr>
          <w:rFonts w:eastAsia="Calibri"/>
          <w:b/>
          <w:sz w:val="28"/>
          <w:szCs w:val="22"/>
        </w:rPr>
        <w:t>"</w:t>
      </w:r>
      <w:proofErr w:type="spellStart"/>
      <w:r w:rsidR="00C23E97" w:rsidRPr="00647307">
        <w:rPr>
          <w:rFonts w:eastAsia="Calibri"/>
          <w:b/>
          <w:sz w:val="28"/>
          <w:szCs w:val="22"/>
        </w:rPr>
        <w:t>Алмазик</w:t>
      </w:r>
      <w:proofErr w:type="spellEnd"/>
      <w:r w:rsidR="00C23E97" w:rsidRPr="00647307">
        <w:rPr>
          <w:rFonts w:eastAsia="Calibri"/>
          <w:b/>
          <w:sz w:val="28"/>
          <w:szCs w:val="22"/>
        </w:rPr>
        <w:t>"</w:t>
      </w:r>
    </w:p>
    <w:p w:rsidR="00C23E97" w:rsidRPr="00647307" w:rsidRDefault="00C23E97" w:rsidP="00C23E97">
      <w:pPr>
        <w:spacing w:before="0"/>
        <w:jc w:val="left"/>
        <w:rPr>
          <w:rFonts w:eastAsia="Times New Roman"/>
          <w:b/>
          <w:color w:val="000000"/>
          <w:sz w:val="24"/>
          <w:szCs w:val="24"/>
          <w:lang w:eastAsia="ru-RU"/>
        </w:rPr>
      </w:pPr>
      <w:r w:rsidRPr="00647307">
        <w:rPr>
          <w:rFonts w:eastAsia="Times New Roman"/>
          <w:b/>
          <w:color w:val="000000"/>
          <w:sz w:val="24"/>
          <w:szCs w:val="24"/>
          <w:lang w:eastAsia="ru-RU"/>
        </w:rPr>
        <w:t>1.Общие положение</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дезинфицирующих средств (далее – Товар) для детских садах АН ДОО «</w:t>
      </w:r>
      <w:proofErr w:type="spellStart"/>
      <w:r w:rsidRPr="00647307">
        <w:rPr>
          <w:rFonts w:eastAsia="Times New Roman"/>
          <w:color w:val="000000"/>
          <w:sz w:val="24"/>
          <w:szCs w:val="24"/>
          <w:lang w:eastAsia="ru-RU"/>
        </w:rPr>
        <w:t>Алмазик</w:t>
      </w:r>
      <w:proofErr w:type="spellEnd"/>
      <w:r w:rsidRPr="00647307">
        <w:rPr>
          <w:rFonts w:eastAsia="Times New Roman"/>
          <w:color w:val="000000"/>
          <w:sz w:val="24"/>
          <w:szCs w:val="24"/>
          <w:lang w:eastAsia="ru-RU"/>
        </w:rPr>
        <w:t>» (далее – Покупатель), а также требование к качеству поставляемого товара.</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1.2 Поставка товара включает в себя:</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1.2.1 Приобретение Товара (Товар должен быть новым, ранее не использованным).</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 xml:space="preserve">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 При этом на упаковке должно быть четко прописано наименование изделия. </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 xml:space="preserve">1.2.5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1.3 Адрес поставки: РС (Я), г. Мирный, ул. 50 лет октября, район метеостанции.</w:t>
      </w:r>
    </w:p>
    <w:p w:rsidR="00C23E97" w:rsidRPr="00647307" w:rsidRDefault="00C23E97" w:rsidP="00C23E97">
      <w:pPr>
        <w:spacing w:before="0"/>
        <w:rPr>
          <w:rFonts w:eastAsia="Times New Roman"/>
          <w:color w:val="000000"/>
          <w:sz w:val="24"/>
          <w:szCs w:val="24"/>
          <w:lang w:eastAsia="ru-RU"/>
        </w:rPr>
      </w:pPr>
      <w:r w:rsidRPr="00647307">
        <w:rPr>
          <w:rFonts w:eastAsia="Times New Roman"/>
          <w:color w:val="000000"/>
          <w:sz w:val="24"/>
          <w:szCs w:val="24"/>
          <w:lang w:eastAsia="ru-RU"/>
        </w:rPr>
        <w:t>1.4</w:t>
      </w:r>
      <w:r>
        <w:rPr>
          <w:rFonts w:eastAsia="Times New Roman"/>
          <w:color w:val="000000"/>
          <w:sz w:val="24"/>
          <w:szCs w:val="24"/>
          <w:lang w:eastAsia="ru-RU"/>
        </w:rPr>
        <w:t xml:space="preserve"> Срок поставки: до 15 октября 2021</w:t>
      </w:r>
      <w:r w:rsidRPr="00647307">
        <w:rPr>
          <w:rFonts w:eastAsia="Times New Roman"/>
          <w:color w:val="000000"/>
          <w:sz w:val="24"/>
          <w:szCs w:val="24"/>
          <w:lang w:eastAsia="ru-RU"/>
        </w:rPr>
        <w:t>г.</w:t>
      </w:r>
    </w:p>
    <w:p w:rsidR="00C23E97" w:rsidRPr="00647307" w:rsidRDefault="00C23E97" w:rsidP="00C23E97">
      <w:pPr>
        <w:spacing w:before="0"/>
        <w:rPr>
          <w:rFonts w:eastAsia="Times New Roman"/>
          <w:color w:val="000000"/>
          <w:sz w:val="24"/>
          <w:szCs w:val="24"/>
          <w:lang w:eastAsia="ru-RU"/>
        </w:rPr>
      </w:pPr>
    </w:p>
    <w:p w:rsidR="00C23E97" w:rsidRPr="00647307" w:rsidRDefault="00C23E97" w:rsidP="00C23E97">
      <w:pPr>
        <w:spacing w:before="0"/>
        <w:rPr>
          <w:rFonts w:eastAsia="Times New Roman"/>
          <w:b/>
          <w:color w:val="000000"/>
          <w:sz w:val="24"/>
          <w:szCs w:val="24"/>
          <w:lang w:eastAsia="ru-RU"/>
        </w:rPr>
      </w:pPr>
      <w:r w:rsidRPr="00647307">
        <w:rPr>
          <w:rFonts w:eastAsia="Times New Roman"/>
          <w:b/>
          <w:color w:val="000000"/>
          <w:sz w:val="24"/>
          <w:szCs w:val="24"/>
          <w:lang w:eastAsia="ru-RU"/>
        </w:rPr>
        <w:t xml:space="preserve">2. Описание и техническое состояние Товара </w:t>
      </w:r>
    </w:p>
    <w:p w:rsidR="00C23E97" w:rsidRPr="00647307" w:rsidRDefault="00C23E97" w:rsidP="00C23E97">
      <w:pPr>
        <w:spacing w:before="0" w:line="259" w:lineRule="auto"/>
        <w:rPr>
          <w:rFonts w:eastAsia="Times New Roman"/>
          <w:color w:val="000000"/>
          <w:sz w:val="24"/>
          <w:szCs w:val="24"/>
          <w:lang w:eastAsia="ru-RU"/>
        </w:rPr>
      </w:pPr>
      <w:r w:rsidRPr="00647307">
        <w:rPr>
          <w:rFonts w:eastAsia="Times New Roman"/>
          <w:color w:val="000000"/>
          <w:sz w:val="24"/>
          <w:szCs w:val="24"/>
          <w:lang w:eastAsia="ru-RU"/>
        </w:rPr>
        <w:t xml:space="preserve"> 2.1 Описание и техническое состояние Товара указаны в Таблице №1</w:t>
      </w: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pPr>
    </w:p>
    <w:p w:rsidR="00C23E97" w:rsidRDefault="00C23E97" w:rsidP="0082656E">
      <w:pPr>
        <w:spacing w:before="0"/>
        <w:jc w:val="center"/>
        <w:rPr>
          <w:rFonts w:eastAsia="Times New Roman"/>
          <w:b/>
          <w:sz w:val="24"/>
          <w:szCs w:val="24"/>
          <w:lang w:eastAsia="ru-RU"/>
        </w:rPr>
        <w:sectPr w:rsidR="00C23E97" w:rsidSect="00563D18">
          <w:pgSz w:w="11906" w:h="16838"/>
          <w:pgMar w:top="1134" w:right="566" w:bottom="1134" w:left="1134" w:header="709" w:footer="709" w:gutter="0"/>
          <w:cols w:space="708"/>
          <w:docGrid w:linePitch="360"/>
        </w:sectPr>
      </w:pPr>
    </w:p>
    <w:p w:rsidR="00C23E97" w:rsidRDefault="00C23E97" w:rsidP="0082656E">
      <w:pPr>
        <w:spacing w:before="0"/>
        <w:jc w:val="center"/>
        <w:rPr>
          <w:rFonts w:eastAsia="Times New Roman"/>
          <w:b/>
          <w:sz w:val="24"/>
          <w:szCs w:val="24"/>
          <w:lang w:eastAsia="ru-RU"/>
        </w:rPr>
      </w:pPr>
    </w:p>
    <w:p w:rsidR="00C23E97" w:rsidRPr="00C23E97" w:rsidRDefault="00C23E97" w:rsidP="00C23E97">
      <w:pPr>
        <w:spacing w:before="0"/>
        <w:jc w:val="right"/>
        <w:rPr>
          <w:rFonts w:eastAsia="Times New Roman"/>
          <w:sz w:val="24"/>
          <w:szCs w:val="24"/>
          <w:lang w:eastAsia="ru-RU"/>
        </w:rPr>
      </w:pPr>
      <w:r w:rsidRPr="00C23E97">
        <w:rPr>
          <w:rFonts w:eastAsia="Times New Roman"/>
          <w:sz w:val="24"/>
          <w:szCs w:val="24"/>
          <w:lang w:eastAsia="ru-RU"/>
        </w:rPr>
        <w:t xml:space="preserve">Таблица №1 </w:t>
      </w:r>
    </w:p>
    <w:p w:rsidR="00C23E97" w:rsidRDefault="00C23E97" w:rsidP="0082656E">
      <w:pPr>
        <w:spacing w:before="0"/>
        <w:jc w:val="center"/>
        <w:rPr>
          <w:rFonts w:eastAsia="Times New Roman"/>
          <w:b/>
          <w:sz w:val="24"/>
          <w:szCs w:val="24"/>
          <w:lang w:eastAsia="ru-RU"/>
        </w:rPr>
      </w:pPr>
    </w:p>
    <w:tbl>
      <w:tblPr>
        <w:tblW w:w="14710" w:type="dxa"/>
        <w:tblInd w:w="-5" w:type="dxa"/>
        <w:tblLook w:val="04A0" w:firstRow="1" w:lastRow="0" w:firstColumn="1" w:lastColumn="0" w:noHBand="0" w:noVBand="1"/>
      </w:tblPr>
      <w:tblGrid>
        <w:gridCol w:w="560"/>
        <w:gridCol w:w="2031"/>
        <w:gridCol w:w="1287"/>
        <w:gridCol w:w="1067"/>
        <w:gridCol w:w="8805"/>
        <w:gridCol w:w="960"/>
      </w:tblGrid>
      <w:tr w:rsidR="00C23E97" w:rsidRPr="00647307" w:rsidTr="00C23E97">
        <w:trPr>
          <w:trHeight w:val="855"/>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Наименование</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Фасовка</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proofErr w:type="spellStart"/>
            <w:r w:rsidRPr="00647307">
              <w:rPr>
                <w:rFonts w:eastAsia="Times New Roman"/>
                <w:b/>
                <w:bCs/>
                <w:color w:val="000000"/>
                <w:sz w:val="22"/>
                <w:szCs w:val="22"/>
                <w:lang w:eastAsia="ru-RU"/>
              </w:rPr>
              <w:t>Ед.изм</w:t>
            </w:r>
            <w:proofErr w:type="spellEnd"/>
            <w:r w:rsidRPr="00647307">
              <w:rPr>
                <w:rFonts w:eastAsia="Times New Roman"/>
                <w:b/>
                <w:bCs/>
                <w:color w:val="000000"/>
                <w:sz w:val="22"/>
                <w:szCs w:val="22"/>
                <w:lang w:eastAsia="ru-RU"/>
              </w:rPr>
              <w:t>.</w:t>
            </w:r>
          </w:p>
        </w:tc>
        <w:tc>
          <w:tcPr>
            <w:tcW w:w="9091"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 xml:space="preserve">Основные характеристики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Кол-во</w:t>
            </w:r>
          </w:p>
        </w:tc>
      </w:tr>
      <w:tr w:rsidR="00C23E97" w:rsidRPr="00647307" w:rsidTr="00C23E97">
        <w:trPr>
          <w:trHeight w:val="285"/>
          <w:tblHeader/>
        </w:trPr>
        <w:tc>
          <w:tcPr>
            <w:tcW w:w="560" w:type="dxa"/>
            <w:tcBorders>
              <w:top w:val="nil"/>
              <w:left w:val="single" w:sz="4" w:space="0" w:color="auto"/>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1</w:t>
            </w:r>
          </w:p>
        </w:tc>
        <w:tc>
          <w:tcPr>
            <w:tcW w:w="1850" w:type="dxa"/>
            <w:tcBorders>
              <w:top w:val="nil"/>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2</w:t>
            </w:r>
          </w:p>
        </w:tc>
        <w:tc>
          <w:tcPr>
            <w:tcW w:w="1299" w:type="dxa"/>
            <w:tcBorders>
              <w:top w:val="nil"/>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3</w:t>
            </w:r>
          </w:p>
        </w:tc>
        <w:tc>
          <w:tcPr>
            <w:tcW w:w="950" w:type="dxa"/>
            <w:tcBorders>
              <w:top w:val="nil"/>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4</w:t>
            </w:r>
          </w:p>
        </w:tc>
        <w:tc>
          <w:tcPr>
            <w:tcW w:w="9091" w:type="dxa"/>
            <w:tcBorders>
              <w:top w:val="nil"/>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5</w:t>
            </w:r>
          </w:p>
        </w:tc>
        <w:tc>
          <w:tcPr>
            <w:tcW w:w="960" w:type="dxa"/>
            <w:tcBorders>
              <w:top w:val="nil"/>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b/>
                <w:bCs/>
                <w:color w:val="000000"/>
                <w:sz w:val="22"/>
                <w:szCs w:val="22"/>
                <w:lang w:eastAsia="ru-RU"/>
              </w:rPr>
            </w:pPr>
            <w:r w:rsidRPr="00647307">
              <w:rPr>
                <w:rFonts w:eastAsia="Times New Roman"/>
                <w:b/>
                <w:bCs/>
                <w:color w:val="000000"/>
                <w:sz w:val="22"/>
                <w:szCs w:val="22"/>
                <w:lang w:eastAsia="ru-RU"/>
              </w:rPr>
              <w:t>6</w:t>
            </w:r>
          </w:p>
        </w:tc>
      </w:tr>
      <w:tr w:rsidR="00C23E97" w:rsidRPr="00647307" w:rsidTr="00C23E97">
        <w:trPr>
          <w:trHeight w:val="15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t>1</w:t>
            </w:r>
          </w:p>
        </w:tc>
        <w:tc>
          <w:tcPr>
            <w:tcW w:w="1850"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4"/>
                <w:lang w:eastAsia="ru-RU"/>
              </w:rPr>
            </w:pPr>
            <w:r w:rsidRPr="00647307">
              <w:rPr>
                <w:rFonts w:eastAsia="Times New Roman"/>
                <w:color w:val="000000"/>
                <w:sz w:val="22"/>
                <w:szCs w:val="18"/>
                <w:lang w:eastAsia="ru-RU"/>
              </w:rPr>
              <w:t>ДЕЗАВИД+</w:t>
            </w:r>
          </w:p>
        </w:tc>
        <w:tc>
          <w:tcPr>
            <w:tcW w:w="1299"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4"/>
                <w:lang w:eastAsia="ru-RU"/>
              </w:rPr>
            </w:pPr>
            <w:r w:rsidRPr="00647307">
              <w:rPr>
                <w:rFonts w:eastAsia="Times New Roman"/>
                <w:color w:val="000000"/>
                <w:sz w:val="22"/>
                <w:szCs w:val="24"/>
                <w:lang w:eastAsia="ru-RU"/>
              </w:rPr>
              <w:t>1л</w:t>
            </w:r>
          </w:p>
        </w:tc>
        <w:tc>
          <w:tcPr>
            <w:tcW w:w="950"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color w:val="000000"/>
                <w:sz w:val="22"/>
                <w:szCs w:val="22"/>
                <w:lang w:eastAsia="ru-RU"/>
              </w:rPr>
            </w:pPr>
            <w:r w:rsidRPr="00647307">
              <w:rPr>
                <w:rFonts w:eastAsia="Times New Roman"/>
                <w:color w:val="000000"/>
                <w:sz w:val="22"/>
                <w:szCs w:val="22"/>
                <w:lang w:eastAsia="ru-RU"/>
              </w:rPr>
              <w:t>литр</w:t>
            </w:r>
          </w:p>
        </w:tc>
        <w:tc>
          <w:tcPr>
            <w:tcW w:w="9091"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22"/>
                <w:lang w:eastAsia="ru-RU"/>
              </w:rPr>
              <w:t> </w:t>
            </w:r>
            <w:r w:rsidRPr="00647307">
              <w:rPr>
                <w:rFonts w:eastAsia="Times New Roman"/>
                <w:b/>
                <w:color w:val="000000"/>
                <w:sz w:val="22"/>
                <w:szCs w:val="18"/>
                <w:lang w:eastAsia="ru-RU"/>
              </w:rPr>
              <w:t>Описание</w:t>
            </w:r>
            <w:r w:rsidRPr="00647307">
              <w:rPr>
                <w:rFonts w:eastAsia="Times New Roman"/>
                <w:color w:val="000000"/>
                <w:sz w:val="22"/>
                <w:szCs w:val="18"/>
                <w:lang w:eastAsia="ru-RU"/>
              </w:rPr>
              <w:t>: дезинфицирующее средство</w:t>
            </w:r>
          </w:p>
          <w:p w:rsidR="00C23E97" w:rsidRPr="00647307" w:rsidRDefault="00C23E97" w:rsidP="00C23E97">
            <w:pPr>
              <w:spacing w:before="0"/>
              <w:jc w:val="left"/>
              <w:rPr>
                <w:rFonts w:eastAsia="Times New Roman"/>
                <w:color w:val="000000"/>
                <w:sz w:val="22"/>
                <w:szCs w:val="18"/>
                <w:lang w:eastAsia="ru-RU"/>
              </w:rPr>
            </w:pP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b/>
                <w:color w:val="000000"/>
                <w:sz w:val="22"/>
                <w:szCs w:val="18"/>
                <w:lang w:eastAsia="ru-RU"/>
              </w:rPr>
              <w:t>Производство</w:t>
            </w:r>
            <w:r w:rsidRPr="00647307">
              <w:rPr>
                <w:rFonts w:eastAsia="Times New Roman"/>
                <w:color w:val="000000"/>
                <w:sz w:val="22"/>
                <w:szCs w:val="18"/>
                <w:lang w:eastAsia="ru-RU"/>
              </w:rPr>
              <w:t>: Россия</w:t>
            </w:r>
          </w:p>
          <w:p w:rsidR="00C23E97" w:rsidRPr="00647307" w:rsidRDefault="00C23E97" w:rsidP="00C23E97">
            <w:pPr>
              <w:spacing w:before="0"/>
              <w:jc w:val="left"/>
              <w:rPr>
                <w:rFonts w:eastAsia="Times New Roman"/>
                <w:color w:val="000000"/>
                <w:sz w:val="22"/>
                <w:szCs w:val="18"/>
                <w:lang w:eastAsia="ru-RU"/>
              </w:rPr>
            </w:pP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b/>
                <w:color w:val="000000"/>
                <w:sz w:val="22"/>
                <w:szCs w:val="18"/>
                <w:lang w:eastAsia="ru-RU"/>
              </w:rPr>
              <w:t>Назначение</w:t>
            </w:r>
            <w:r w:rsidRPr="00647307">
              <w:rPr>
                <w:rFonts w:eastAsia="Times New Roman"/>
                <w:color w:val="000000"/>
                <w:sz w:val="22"/>
                <w:szCs w:val="18"/>
                <w:lang w:eastAsia="ru-RU"/>
              </w:rPr>
              <w:t>: средство “ДЕЗАВИД+” предназначено:</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и мытья поверхностей в помещениях, жесткой и мягкой мебели, напольных ковровых покрытий, обивочных тканей, предметов обстановки, поверхностей аппаратов, приборов, санитарно-технического оборудования, белья, посуды (в том числе лабораторной), предметов для мытья посуды, резиновых ковриков, уборочного инвентаря и материала, игрушек, предметов ухода за больными, предметов личной гигиены в ЛПУ (включая клинические, диагностические и бактериологические лаборатории, отделения неонатологии, роддома, палаты новорожденных), в детских и пенитенциарных учреждениях, в инфекционных очагах при проведении текущей, заключительной и профилактической дезинфекции;</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для дезинфекции медицинского оборудования (в </w:t>
            </w:r>
            <w:proofErr w:type="spellStart"/>
            <w:r w:rsidRPr="00647307">
              <w:rPr>
                <w:rFonts w:eastAsia="Times New Roman"/>
                <w:color w:val="000000"/>
                <w:sz w:val="22"/>
                <w:szCs w:val="18"/>
                <w:lang w:eastAsia="ru-RU"/>
              </w:rPr>
              <w:t>т.ч</w:t>
            </w:r>
            <w:proofErr w:type="spellEnd"/>
            <w:r w:rsidRPr="00647307">
              <w:rPr>
                <w:rFonts w:eastAsia="Times New Roman"/>
                <w:color w:val="000000"/>
                <w:sz w:val="22"/>
                <w:szCs w:val="18"/>
                <w:lang w:eastAsia="ru-RU"/>
              </w:rPr>
              <w:t>. кувезы, наркозно-дыхательная аппаратура, анестезиологическое оборудование и др.);</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для дезинфекции (в том числе совмещенной с </w:t>
            </w:r>
            <w:proofErr w:type="spellStart"/>
            <w:r w:rsidRPr="00647307">
              <w:rPr>
                <w:rFonts w:eastAsia="Times New Roman"/>
                <w:color w:val="000000"/>
                <w:sz w:val="22"/>
                <w:szCs w:val="18"/>
                <w:lang w:eastAsia="ru-RU"/>
              </w:rPr>
              <w:t>предстерилизационной</w:t>
            </w:r>
            <w:proofErr w:type="spellEnd"/>
            <w:r w:rsidRPr="00647307">
              <w:rPr>
                <w:rFonts w:eastAsia="Times New Roman"/>
                <w:color w:val="000000"/>
                <w:sz w:val="22"/>
                <w:szCs w:val="18"/>
                <w:lang w:eastAsia="ru-RU"/>
              </w:rPr>
              <w:t xml:space="preserve"> очисткой, в том числе механизированным способом) изделий медицинского назначения (включая жесткие и гибкие эндоскопы, инструменты к ним, хирургические и стоматологические инструменты, в том числе вращающиеся, а также стоматологические материалы – оттиски из </w:t>
            </w:r>
            <w:proofErr w:type="spellStart"/>
            <w:r w:rsidRPr="00647307">
              <w:rPr>
                <w:rFonts w:eastAsia="Times New Roman"/>
                <w:color w:val="000000"/>
                <w:sz w:val="22"/>
                <w:szCs w:val="18"/>
                <w:lang w:eastAsia="ru-RU"/>
              </w:rPr>
              <w:t>альгинатных</w:t>
            </w:r>
            <w:proofErr w:type="spellEnd"/>
            <w:r w:rsidRPr="00647307">
              <w:rPr>
                <w:rFonts w:eastAsia="Times New Roman"/>
                <w:color w:val="000000"/>
                <w:sz w:val="22"/>
                <w:szCs w:val="18"/>
                <w:lang w:eastAsia="ru-RU"/>
              </w:rPr>
              <w:t>, силиконовых материалов, полиэфирной смолы, зубопротезные заготовки из металлов, керамики пластмасс и других материалов);</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для </w:t>
            </w:r>
            <w:proofErr w:type="spellStart"/>
            <w:r w:rsidRPr="00647307">
              <w:rPr>
                <w:rFonts w:eastAsia="Times New Roman"/>
                <w:color w:val="000000"/>
                <w:sz w:val="22"/>
                <w:szCs w:val="18"/>
                <w:lang w:eastAsia="ru-RU"/>
              </w:rPr>
              <w:t>предстерилизационной</w:t>
            </w:r>
            <w:proofErr w:type="spellEnd"/>
            <w:r w:rsidRPr="00647307">
              <w:rPr>
                <w:rFonts w:eastAsia="Times New Roman"/>
                <w:color w:val="000000"/>
                <w:sz w:val="22"/>
                <w:szCs w:val="18"/>
                <w:lang w:eastAsia="ru-RU"/>
              </w:rPr>
              <w:t xml:space="preserve"> и окончательной очистки изделий медицинского назначения (включая жесткие и гибкие эндоскопы, инструменты к ним, хирургические стоматологические инструменты, в том числе вращающиеся, а также стоматологические материалы) ручным и механизированным (с использованием ультразвука) способом;</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высокого уровня эндоскопов;</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стерилизации изделий медицинского назначения;</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lastRenderedPageBreak/>
              <w:t>для дезинфекции медицинских отходов – изделий медицинского назначения однократного применения, перевязочного материала, белья одноразового применения и т. д. перед их утилизацией в ЛПУ;</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санитарного транспорта;</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проведения генеральных уборок в лечебно-профилактических, детских дошкольных, школьных и других общеобразовательных и оздоровительных учреждениях, на коммунальных объектах, пенитенциарных и других учреждениях;</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для дезинфекции воздуха способом распыления на различных объектах, систем вентиляции и кондиционирования воздуха (бытовые кондиционеры, сплит-системы, </w:t>
            </w:r>
            <w:proofErr w:type="spellStart"/>
            <w:r w:rsidRPr="00647307">
              <w:rPr>
                <w:rFonts w:eastAsia="Times New Roman"/>
                <w:color w:val="000000"/>
                <w:sz w:val="22"/>
                <w:szCs w:val="18"/>
                <w:lang w:eastAsia="ru-RU"/>
              </w:rPr>
              <w:t>мультизональные</w:t>
            </w:r>
            <w:proofErr w:type="spellEnd"/>
            <w:r w:rsidRPr="00647307">
              <w:rPr>
                <w:rFonts w:eastAsia="Times New Roman"/>
                <w:color w:val="000000"/>
                <w:sz w:val="22"/>
                <w:szCs w:val="18"/>
                <w:lang w:eastAsia="ru-RU"/>
              </w:rPr>
              <w:t xml:space="preserve"> сплит-системы, крышные кондиционеры и др.);</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и мытья помещений и оборудования (в том числе оборудования, имеющего контакт с пищевыми продуктами) на предприятиях общественного питания, продовольственной торговли, потребительских рынках, коммунальных объектах, гостиницах, общежитиях, бассейнах, банях, саунах, местах массового скопления людей;</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помещений, оборудования, инструментов, спецодежды, воздуха парикмахерских, массажных и косметических салонов, салонов красоты, прачечных, клубов, санпропускников и других объектов сферы обслуживания населения;</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дезинфекции обуви с целью профилактики инфекций грибковой этиологии (</w:t>
            </w:r>
            <w:proofErr w:type="spellStart"/>
            <w:r w:rsidRPr="00647307">
              <w:rPr>
                <w:rFonts w:eastAsia="Times New Roman"/>
                <w:color w:val="000000"/>
                <w:sz w:val="22"/>
                <w:szCs w:val="18"/>
                <w:lang w:eastAsia="ru-RU"/>
              </w:rPr>
              <w:t>дерматофитии</w:t>
            </w:r>
            <w:proofErr w:type="spellEnd"/>
            <w:r w:rsidRPr="00647307">
              <w:rPr>
                <w:rFonts w:eastAsia="Times New Roman"/>
                <w:color w:val="000000"/>
                <w:sz w:val="22"/>
                <w:szCs w:val="18"/>
                <w:lang w:eastAsia="ru-RU"/>
              </w:rPr>
              <w:t>);</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 xml:space="preserve">для дезинфекции, чистки, мойки и </w:t>
            </w:r>
            <w:proofErr w:type="spellStart"/>
            <w:r w:rsidRPr="00647307">
              <w:rPr>
                <w:rFonts w:eastAsia="Times New Roman"/>
                <w:color w:val="000000"/>
                <w:sz w:val="22"/>
                <w:szCs w:val="18"/>
                <w:lang w:eastAsia="ru-RU"/>
              </w:rPr>
              <w:t>дезодорирования</w:t>
            </w:r>
            <w:proofErr w:type="spellEnd"/>
            <w:r w:rsidRPr="00647307">
              <w:rPr>
                <w:rFonts w:eastAsia="Times New Roman"/>
                <w:color w:val="000000"/>
                <w:sz w:val="22"/>
                <w:szCs w:val="18"/>
                <w:lang w:eastAsia="ru-RU"/>
              </w:rPr>
              <w:t xml:space="preserve"> мусороуборочного оборудования,</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мусоровозов, мусорных баков и мусоросборников, мусоропроводов;</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обеззараживания содержимого накопительных баков автономных туалетов, не имеющих отвода в канализацию, а также поверхностей в кабинах автономных туалетов и биотуалетов;</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для обеззараживания крови и биологических выделений (мочи, фекалий, мокроты) в лечебно-профилактических учреждениях, диагностических и клинических лабораториях, на станциях и пунктах переливания и забора крови, на санитарном транспорте.</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t>Состав дезинфицирующего средства “</w:t>
            </w:r>
            <w:proofErr w:type="spellStart"/>
            <w:r w:rsidRPr="00647307">
              <w:rPr>
                <w:rFonts w:eastAsia="Times New Roman"/>
                <w:color w:val="000000"/>
                <w:sz w:val="22"/>
                <w:szCs w:val="18"/>
                <w:lang w:eastAsia="ru-RU"/>
              </w:rPr>
              <w:t>Дезавид</w:t>
            </w:r>
            <w:proofErr w:type="spellEnd"/>
            <w:r w:rsidRPr="00647307">
              <w:rPr>
                <w:rFonts w:eastAsia="Times New Roman"/>
                <w:color w:val="000000"/>
                <w:sz w:val="22"/>
                <w:szCs w:val="18"/>
                <w:lang w:eastAsia="ru-RU"/>
              </w:rPr>
              <w:t xml:space="preserve"> плюс”: содержит в своем составе в качестве действующих веществ </w:t>
            </w:r>
            <w:proofErr w:type="spellStart"/>
            <w:r w:rsidRPr="00647307">
              <w:rPr>
                <w:rFonts w:eastAsia="Times New Roman"/>
                <w:color w:val="000000"/>
                <w:sz w:val="22"/>
                <w:szCs w:val="18"/>
                <w:lang w:eastAsia="ru-RU"/>
              </w:rPr>
              <w:t>полигексаметиленгуанидин</w:t>
            </w:r>
            <w:proofErr w:type="spellEnd"/>
            <w:r w:rsidRPr="00647307">
              <w:rPr>
                <w:rFonts w:eastAsia="Times New Roman"/>
                <w:color w:val="000000"/>
                <w:sz w:val="22"/>
                <w:szCs w:val="18"/>
                <w:lang w:eastAsia="ru-RU"/>
              </w:rPr>
              <w:t xml:space="preserve"> гидрохлорид 9% и </w:t>
            </w:r>
            <w:proofErr w:type="spellStart"/>
            <w:r w:rsidRPr="00647307">
              <w:rPr>
                <w:rFonts w:eastAsia="Times New Roman"/>
                <w:color w:val="000000"/>
                <w:sz w:val="22"/>
                <w:szCs w:val="18"/>
                <w:lang w:eastAsia="ru-RU"/>
              </w:rPr>
              <w:t>алкилдиметилбензиламмоний</w:t>
            </w:r>
            <w:proofErr w:type="spellEnd"/>
            <w:r w:rsidRPr="00647307">
              <w:rPr>
                <w:rFonts w:eastAsia="Times New Roman"/>
                <w:color w:val="000000"/>
                <w:sz w:val="22"/>
                <w:szCs w:val="18"/>
                <w:lang w:eastAsia="ru-RU"/>
              </w:rPr>
              <w:t xml:space="preserve"> хлорид 1%, а также функциональные компоненты и воду. рН 1% водного раствора средства 6,0±1,0.</w:t>
            </w: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color w:val="000000"/>
                <w:sz w:val="22"/>
                <w:szCs w:val="18"/>
                <w:lang w:eastAsia="ru-RU"/>
              </w:rPr>
              <w:lastRenderedPageBreak/>
              <w:t>Консистенция, свойства дезинфицирующего средства “</w:t>
            </w:r>
            <w:proofErr w:type="spellStart"/>
            <w:r w:rsidRPr="00647307">
              <w:rPr>
                <w:rFonts w:eastAsia="Times New Roman"/>
                <w:color w:val="000000"/>
                <w:sz w:val="22"/>
                <w:szCs w:val="18"/>
                <w:lang w:eastAsia="ru-RU"/>
              </w:rPr>
              <w:t>Дезавид</w:t>
            </w:r>
            <w:proofErr w:type="spellEnd"/>
            <w:r w:rsidRPr="00647307">
              <w:rPr>
                <w:rFonts w:eastAsia="Times New Roman"/>
                <w:color w:val="000000"/>
                <w:sz w:val="22"/>
                <w:szCs w:val="18"/>
                <w:lang w:eastAsia="ru-RU"/>
              </w:rPr>
              <w:t xml:space="preserve"> плюс”: средство представляет собой прозрачную жидкость от бесцветного до желтого цвета. Допускается в процессе хранения выпадение незначительного осадка. Средство сохраняет свои свойства при замораживании и размораживании.</w:t>
            </w:r>
          </w:p>
          <w:p w:rsidR="00C23E97" w:rsidRPr="00647307" w:rsidRDefault="00C23E97" w:rsidP="00C23E97">
            <w:pPr>
              <w:spacing w:before="0"/>
              <w:jc w:val="left"/>
              <w:rPr>
                <w:rFonts w:eastAsia="Times New Roman"/>
                <w:color w:val="000000"/>
                <w:sz w:val="22"/>
                <w:szCs w:val="18"/>
                <w:lang w:eastAsia="ru-RU"/>
              </w:rPr>
            </w:pP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b/>
                <w:color w:val="000000"/>
                <w:sz w:val="22"/>
                <w:szCs w:val="18"/>
                <w:lang w:eastAsia="ru-RU"/>
              </w:rPr>
              <w:t>Фасовка</w:t>
            </w:r>
            <w:r w:rsidRPr="00647307">
              <w:rPr>
                <w:rFonts w:eastAsia="Times New Roman"/>
                <w:color w:val="000000"/>
                <w:sz w:val="22"/>
                <w:szCs w:val="18"/>
                <w:lang w:eastAsia="ru-RU"/>
              </w:rPr>
              <w:t xml:space="preserve"> дезинфицирующего средства “</w:t>
            </w:r>
            <w:proofErr w:type="spellStart"/>
            <w:r w:rsidRPr="00647307">
              <w:rPr>
                <w:rFonts w:eastAsia="Times New Roman"/>
                <w:color w:val="000000"/>
                <w:sz w:val="22"/>
                <w:szCs w:val="18"/>
                <w:lang w:eastAsia="ru-RU"/>
              </w:rPr>
              <w:t>Дезавид</w:t>
            </w:r>
            <w:proofErr w:type="spellEnd"/>
            <w:r w:rsidRPr="00647307">
              <w:rPr>
                <w:rFonts w:eastAsia="Times New Roman"/>
                <w:color w:val="000000"/>
                <w:sz w:val="22"/>
                <w:szCs w:val="18"/>
                <w:lang w:eastAsia="ru-RU"/>
              </w:rPr>
              <w:t xml:space="preserve"> плюс”: 1л</w:t>
            </w:r>
          </w:p>
          <w:p w:rsidR="00C23E97" w:rsidRPr="00647307" w:rsidRDefault="00C23E97" w:rsidP="00C23E97">
            <w:pPr>
              <w:spacing w:before="0"/>
              <w:jc w:val="left"/>
              <w:rPr>
                <w:rFonts w:eastAsia="Times New Roman"/>
                <w:color w:val="000000"/>
                <w:sz w:val="22"/>
                <w:szCs w:val="18"/>
                <w:lang w:eastAsia="ru-RU"/>
              </w:rPr>
            </w:pPr>
          </w:p>
          <w:p w:rsidR="00C23E97" w:rsidRPr="00647307" w:rsidRDefault="00C23E97" w:rsidP="00C23E97">
            <w:pPr>
              <w:spacing w:before="0"/>
              <w:jc w:val="left"/>
              <w:rPr>
                <w:rFonts w:eastAsia="Times New Roman"/>
                <w:color w:val="000000"/>
                <w:sz w:val="22"/>
                <w:szCs w:val="18"/>
                <w:lang w:eastAsia="ru-RU"/>
              </w:rPr>
            </w:pPr>
            <w:r w:rsidRPr="00647307">
              <w:rPr>
                <w:rFonts w:eastAsia="Times New Roman"/>
                <w:b/>
                <w:color w:val="000000"/>
                <w:sz w:val="22"/>
                <w:szCs w:val="18"/>
                <w:lang w:eastAsia="ru-RU"/>
              </w:rPr>
              <w:t xml:space="preserve">Микробиология </w:t>
            </w:r>
            <w:r w:rsidRPr="00647307">
              <w:rPr>
                <w:rFonts w:eastAsia="Times New Roman"/>
                <w:color w:val="000000"/>
                <w:sz w:val="22"/>
                <w:szCs w:val="18"/>
                <w:lang w:eastAsia="ru-RU"/>
              </w:rPr>
              <w:t>дезинфицирующего средства “</w:t>
            </w:r>
            <w:proofErr w:type="spellStart"/>
            <w:r w:rsidRPr="00647307">
              <w:rPr>
                <w:rFonts w:eastAsia="Times New Roman"/>
                <w:color w:val="000000"/>
                <w:sz w:val="22"/>
                <w:szCs w:val="18"/>
                <w:lang w:eastAsia="ru-RU"/>
              </w:rPr>
              <w:t>Дезавид</w:t>
            </w:r>
            <w:proofErr w:type="spellEnd"/>
            <w:r w:rsidRPr="00647307">
              <w:rPr>
                <w:rFonts w:eastAsia="Times New Roman"/>
                <w:color w:val="000000"/>
                <w:sz w:val="22"/>
                <w:szCs w:val="18"/>
                <w:lang w:eastAsia="ru-RU"/>
              </w:rPr>
              <w:t xml:space="preserve"> плюс”: средство обладает антимикробной активностью в отношении различных грамотрицательных и грамположительных микроорганизмов, возбудителей туберкулеза, вирусов (острые респираторные вирусные инфекции, герпес, полиомиелит, гепатиты всех видов, включая гепатиты А, В и С, ВИЧ-инфекция, аденовирус), грибов рода </w:t>
            </w:r>
            <w:proofErr w:type="spellStart"/>
            <w:r w:rsidRPr="00647307">
              <w:rPr>
                <w:rFonts w:eastAsia="Times New Roman"/>
                <w:color w:val="000000"/>
                <w:sz w:val="22"/>
                <w:szCs w:val="18"/>
                <w:lang w:eastAsia="ru-RU"/>
              </w:rPr>
              <w:t>Кандида</w:t>
            </w:r>
            <w:proofErr w:type="spellEnd"/>
            <w:r w:rsidRPr="00647307">
              <w:rPr>
                <w:rFonts w:eastAsia="Times New Roman"/>
                <w:color w:val="000000"/>
                <w:sz w:val="22"/>
                <w:szCs w:val="18"/>
                <w:lang w:eastAsia="ru-RU"/>
              </w:rPr>
              <w:t xml:space="preserve"> и Трихофитон (</w:t>
            </w:r>
            <w:proofErr w:type="spellStart"/>
            <w:r w:rsidRPr="00647307">
              <w:rPr>
                <w:rFonts w:eastAsia="Times New Roman"/>
                <w:color w:val="000000"/>
                <w:sz w:val="22"/>
                <w:szCs w:val="18"/>
                <w:lang w:eastAsia="ru-RU"/>
              </w:rPr>
              <w:t>дерматофитий</w:t>
            </w:r>
            <w:proofErr w:type="spellEnd"/>
            <w:r w:rsidRPr="00647307">
              <w:rPr>
                <w:rFonts w:eastAsia="Times New Roman"/>
                <w:color w:val="000000"/>
                <w:sz w:val="22"/>
                <w:szCs w:val="18"/>
                <w:lang w:eastAsia="ru-RU"/>
              </w:rPr>
              <w:t xml:space="preserve">), плесневых грибов, возбудителей внутрибольничных инфекций; обладает </w:t>
            </w:r>
            <w:proofErr w:type="spellStart"/>
            <w:r w:rsidRPr="00647307">
              <w:rPr>
                <w:rFonts w:eastAsia="Times New Roman"/>
                <w:color w:val="000000"/>
                <w:sz w:val="22"/>
                <w:szCs w:val="18"/>
                <w:lang w:eastAsia="ru-RU"/>
              </w:rPr>
              <w:t>спороцидной</w:t>
            </w:r>
            <w:proofErr w:type="spellEnd"/>
            <w:r w:rsidRPr="00647307">
              <w:rPr>
                <w:rFonts w:eastAsia="Times New Roman"/>
                <w:color w:val="000000"/>
                <w:sz w:val="22"/>
                <w:szCs w:val="18"/>
                <w:lang w:eastAsia="ru-RU"/>
              </w:rPr>
              <w:t xml:space="preserve"> активностью, а также эффективно в отношении возбудителей особо опасных инфекций (чума, холера, сибирская язва).Средство, не портит обрабатываемые объекты, не обесцвечивает ткани, не фиксирует органические загрязнения, не вызывает коррозии </w:t>
            </w:r>
            <w:proofErr w:type="spellStart"/>
            <w:r w:rsidRPr="00647307">
              <w:rPr>
                <w:rFonts w:eastAsia="Times New Roman"/>
                <w:color w:val="000000"/>
                <w:sz w:val="22"/>
                <w:szCs w:val="18"/>
                <w:lang w:eastAsia="ru-RU"/>
              </w:rPr>
              <w:t>металлов.Рабочие</w:t>
            </w:r>
            <w:proofErr w:type="spellEnd"/>
            <w:r w:rsidRPr="00647307">
              <w:rPr>
                <w:rFonts w:eastAsia="Times New Roman"/>
                <w:color w:val="000000"/>
                <w:sz w:val="22"/>
                <w:szCs w:val="18"/>
                <w:lang w:eastAsia="ru-RU"/>
              </w:rPr>
              <w:t xml:space="preserve"> растворы </w:t>
            </w:r>
            <w:proofErr w:type="spellStart"/>
            <w:r w:rsidRPr="00647307">
              <w:rPr>
                <w:rFonts w:eastAsia="Times New Roman"/>
                <w:color w:val="000000"/>
                <w:sz w:val="22"/>
                <w:szCs w:val="18"/>
                <w:lang w:eastAsia="ru-RU"/>
              </w:rPr>
              <w:t>негорючи</w:t>
            </w:r>
            <w:proofErr w:type="spellEnd"/>
            <w:r w:rsidRPr="00647307">
              <w:rPr>
                <w:rFonts w:eastAsia="Times New Roman"/>
                <w:color w:val="000000"/>
                <w:sz w:val="22"/>
                <w:szCs w:val="18"/>
                <w:lang w:eastAsia="ru-RU"/>
              </w:rPr>
              <w:t xml:space="preserve">, </w:t>
            </w:r>
            <w:proofErr w:type="spellStart"/>
            <w:r w:rsidRPr="00647307">
              <w:rPr>
                <w:rFonts w:eastAsia="Times New Roman"/>
                <w:color w:val="000000"/>
                <w:sz w:val="22"/>
                <w:szCs w:val="18"/>
                <w:lang w:eastAsia="ru-RU"/>
              </w:rPr>
              <w:t>пожаро</w:t>
            </w:r>
            <w:proofErr w:type="spellEnd"/>
            <w:r w:rsidRPr="00647307">
              <w:rPr>
                <w:rFonts w:eastAsia="Times New Roman"/>
                <w:color w:val="000000"/>
                <w:sz w:val="22"/>
                <w:szCs w:val="18"/>
                <w:lang w:eastAsia="ru-RU"/>
              </w:rPr>
              <w:t xml:space="preserve"> - и взрывобезопасны, экологически безвредны. Средство несовместимо с мылами и анионными поверхностно-активными веществами.</w:t>
            </w:r>
          </w:p>
          <w:p w:rsidR="00C23E97" w:rsidRPr="00647307" w:rsidRDefault="00C23E97" w:rsidP="00C23E97">
            <w:pPr>
              <w:spacing w:before="0"/>
              <w:jc w:val="left"/>
              <w:rPr>
                <w:rFonts w:eastAsia="Times New Roman"/>
                <w:color w:val="000000"/>
                <w:sz w:val="22"/>
                <w:szCs w:val="22"/>
                <w:lang w:eastAsia="ru-RU"/>
              </w:rPr>
            </w:pPr>
          </w:p>
        </w:tc>
        <w:tc>
          <w:tcPr>
            <w:tcW w:w="960" w:type="dxa"/>
            <w:tcBorders>
              <w:top w:val="single" w:sz="4" w:space="0" w:color="auto"/>
              <w:left w:val="nil"/>
              <w:bottom w:val="nil"/>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216</w:t>
            </w:r>
          </w:p>
        </w:tc>
      </w:tr>
      <w:tr w:rsidR="00C23E97" w:rsidRPr="00647307" w:rsidTr="00C23E97">
        <w:trPr>
          <w:trHeight w:val="15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2</w:t>
            </w:r>
          </w:p>
        </w:tc>
        <w:tc>
          <w:tcPr>
            <w:tcW w:w="1850"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2"/>
                <w:lang w:eastAsia="ru-RU"/>
              </w:rPr>
            </w:pPr>
            <w:proofErr w:type="spellStart"/>
            <w:r w:rsidRPr="00647307">
              <w:rPr>
                <w:rFonts w:eastAsia="Times New Roman"/>
                <w:color w:val="000000"/>
                <w:sz w:val="22"/>
                <w:szCs w:val="22"/>
                <w:lang w:eastAsia="ru-RU"/>
              </w:rPr>
              <w:t>Акватабс</w:t>
            </w:r>
            <w:proofErr w:type="spellEnd"/>
            <w:r w:rsidRPr="00647307">
              <w:rPr>
                <w:rFonts w:eastAsia="Times New Roman"/>
                <w:color w:val="000000"/>
                <w:sz w:val="22"/>
                <w:szCs w:val="22"/>
                <w:lang w:eastAsia="ru-RU"/>
              </w:rPr>
              <w:t xml:space="preserve"> </w:t>
            </w:r>
          </w:p>
        </w:tc>
        <w:tc>
          <w:tcPr>
            <w:tcW w:w="1299"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4"/>
                <w:lang w:eastAsia="ru-RU"/>
              </w:rPr>
            </w:pPr>
            <w:r w:rsidRPr="00647307">
              <w:rPr>
                <w:rFonts w:eastAsia="Times New Roman"/>
                <w:color w:val="000000"/>
                <w:sz w:val="22"/>
                <w:szCs w:val="24"/>
                <w:lang w:eastAsia="ru-RU"/>
              </w:rPr>
              <w:t>60 таб</w:t>
            </w:r>
            <w:r>
              <w:rPr>
                <w:rFonts w:eastAsia="Times New Roman"/>
                <w:color w:val="000000"/>
                <w:sz w:val="22"/>
                <w:szCs w:val="24"/>
                <w:lang w:eastAsia="ru-RU"/>
              </w:rPr>
              <w:t>.</w:t>
            </w:r>
          </w:p>
        </w:tc>
        <w:tc>
          <w:tcPr>
            <w:tcW w:w="950"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jc w:val="center"/>
              <w:rPr>
                <w:rFonts w:eastAsia="Times New Roman"/>
                <w:color w:val="000000"/>
                <w:sz w:val="22"/>
                <w:szCs w:val="22"/>
                <w:lang w:eastAsia="ru-RU"/>
              </w:rPr>
            </w:pPr>
            <w:r w:rsidRPr="00647307">
              <w:rPr>
                <w:rFonts w:eastAsia="Times New Roman"/>
                <w:color w:val="000000"/>
                <w:sz w:val="22"/>
                <w:szCs w:val="22"/>
                <w:lang w:eastAsia="ru-RU"/>
              </w:rPr>
              <w:t>упаковка</w:t>
            </w:r>
          </w:p>
        </w:tc>
        <w:tc>
          <w:tcPr>
            <w:tcW w:w="9091" w:type="dxa"/>
            <w:tcBorders>
              <w:top w:val="single" w:sz="4" w:space="0" w:color="auto"/>
              <w:left w:val="nil"/>
              <w:bottom w:val="nil"/>
              <w:right w:val="single" w:sz="4" w:space="0" w:color="auto"/>
            </w:tcBorders>
            <w:shd w:val="clear" w:color="auto" w:fill="auto"/>
            <w:vAlign w:val="center"/>
            <w:hideMark/>
          </w:tcPr>
          <w:p w:rsidR="00C23E97" w:rsidRPr="00647307" w:rsidRDefault="00C23E97" w:rsidP="00C23E97">
            <w:pPr>
              <w:spacing w:before="0" w:after="160"/>
              <w:jc w:val="left"/>
              <w:rPr>
                <w:rFonts w:eastAsia="Times New Roman"/>
                <w:color w:val="000000"/>
                <w:sz w:val="22"/>
                <w:szCs w:val="22"/>
                <w:lang w:eastAsia="ru-RU"/>
              </w:rPr>
            </w:pPr>
            <w:r w:rsidRPr="00647307">
              <w:rPr>
                <w:rFonts w:eastAsia="Times New Roman"/>
                <w:color w:val="000000"/>
                <w:sz w:val="22"/>
                <w:szCs w:val="22"/>
                <w:lang w:eastAsia="ru-RU"/>
              </w:rPr>
              <w:t>  </w:t>
            </w:r>
            <w:r w:rsidRPr="00647307">
              <w:rPr>
                <w:rFonts w:eastAsia="Times New Roman"/>
                <w:b/>
                <w:bCs/>
                <w:color w:val="000000"/>
                <w:sz w:val="22"/>
                <w:szCs w:val="22"/>
                <w:lang w:eastAsia="ru-RU"/>
              </w:rPr>
              <w:t>Описание:</w:t>
            </w:r>
            <w:r w:rsidRPr="00647307">
              <w:rPr>
                <w:rFonts w:eastAsia="Times New Roman"/>
                <w:color w:val="000000"/>
                <w:sz w:val="22"/>
                <w:szCs w:val="22"/>
                <w:lang w:eastAsia="ru-RU"/>
              </w:rPr>
              <w:t> Дезинфицирующие хлорные таблетки, растворимые в воде</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Производство:</w:t>
            </w:r>
            <w:r w:rsidRPr="00647307">
              <w:rPr>
                <w:rFonts w:eastAsia="Times New Roman"/>
                <w:color w:val="000000"/>
                <w:sz w:val="22"/>
                <w:szCs w:val="22"/>
                <w:lang w:eastAsia="ru-RU"/>
              </w:rPr>
              <w:t> Ирландия</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Назначение:</w:t>
            </w:r>
            <w:r>
              <w:rPr>
                <w:rFonts w:eastAsia="Times New Roman"/>
                <w:b/>
                <w:bCs/>
                <w:color w:val="000000"/>
                <w:sz w:val="22"/>
                <w:szCs w:val="22"/>
                <w:lang w:eastAsia="ru-RU"/>
              </w:rPr>
              <w:t xml:space="preserve"> </w:t>
            </w:r>
            <w:r w:rsidRPr="00647307">
              <w:rPr>
                <w:rFonts w:eastAsia="Times New Roman"/>
                <w:color w:val="000000"/>
                <w:sz w:val="22"/>
                <w:szCs w:val="22"/>
                <w:lang w:eastAsia="ru-RU"/>
              </w:rPr>
              <w:t>дезинфицирующие хлорные таблетки </w:t>
            </w:r>
            <w:r w:rsidRPr="00647307">
              <w:rPr>
                <w:rFonts w:eastAsia="Times New Roman"/>
                <w:b/>
                <w:bCs/>
                <w:color w:val="000000"/>
                <w:sz w:val="22"/>
                <w:szCs w:val="22"/>
                <w:lang w:eastAsia="ru-RU"/>
              </w:rPr>
              <w:t>«</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предназначены для обеззараживания питьевой воды, воды плавательных бассейнов, дезинфекции поверхностей, «чаши» бассейнов, емкостей для хранения воды, поверхностей подсобных помещений, санитарно-технического оборудования, уборочного материала, а также для обеззараживания фруктов, овощей и воды для приготовления пищевого льда.</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Состав дезинфицирующих хлорных таблеток «</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xml:space="preserve"> активно действующее вещество — натриевая соль </w:t>
            </w:r>
            <w:proofErr w:type="spellStart"/>
            <w:r w:rsidRPr="00647307">
              <w:rPr>
                <w:rFonts w:eastAsia="Times New Roman"/>
                <w:color w:val="000000"/>
                <w:sz w:val="22"/>
                <w:szCs w:val="22"/>
                <w:lang w:eastAsia="ru-RU"/>
              </w:rPr>
              <w:t>дихлоризоциануровой</w:t>
            </w:r>
            <w:proofErr w:type="spellEnd"/>
            <w:r w:rsidRPr="00647307">
              <w:rPr>
                <w:rFonts w:eastAsia="Times New Roman"/>
                <w:color w:val="000000"/>
                <w:sz w:val="22"/>
                <w:szCs w:val="22"/>
                <w:lang w:eastAsia="ru-RU"/>
              </w:rPr>
              <w:t xml:space="preserve"> кислоты и наполнители (бикарбонат натрия, адипиновая кислота и сульфат натрия), обеспечивающие быстрое растворение таблетки в воде.</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lastRenderedPageBreak/>
              <w:t>Консистенция, свойства:</w:t>
            </w:r>
            <w:r w:rsidRPr="00647307">
              <w:rPr>
                <w:rFonts w:eastAsia="Times New Roman"/>
                <w:color w:val="000000"/>
                <w:sz w:val="22"/>
                <w:szCs w:val="22"/>
                <w:lang w:eastAsia="ru-RU"/>
              </w:rPr>
              <w:t> дезинфицирующие хлорные таблетки </w:t>
            </w:r>
            <w:r w:rsidRPr="00647307">
              <w:rPr>
                <w:rFonts w:eastAsia="Times New Roman"/>
                <w:b/>
                <w:bCs/>
                <w:color w:val="000000"/>
                <w:sz w:val="22"/>
                <w:szCs w:val="22"/>
                <w:lang w:eastAsia="ru-RU"/>
              </w:rPr>
              <w:t>«</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xml:space="preserve"> одиннадцати видов, различающиеся по содержанию </w:t>
            </w:r>
            <w:proofErr w:type="spellStart"/>
            <w:r w:rsidRPr="00647307">
              <w:rPr>
                <w:rFonts w:eastAsia="Times New Roman"/>
                <w:color w:val="000000"/>
                <w:sz w:val="22"/>
                <w:szCs w:val="22"/>
                <w:lang w:eastAsia="ru-RU"/>
              </w:rPr>
              <w:t>Na</w:t>
            </w:r>
            <w:proofErr w:type="spellEnd"/>
            <w:r w:rsidRPr="00647307">
              <w:rPr>
                <w:rFonts w:eastAsia="Times New Roman"/>
                <w:color w:val="000000"/>
                <w:sz w:val="22"/>
                <w:szCs w:val="22"/>
                <w:lang w:eastAsia="ru-RU"/>
              </w:rPr>
              <w:t>-соли ДХЦК (от 3,5 мг до 8,68 г) и по количеству выделяемого активного хлора (от 2 до 5000 мг). Они быстро растворяются в воде. Срок годности 3 — 5 лет в зависимости от вида упаковки.</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Фасовка дезинфицирующих хлорных таблеток «</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пластиковые баночки вместимостью 60, 320, 1000 табл., блистеры: 3,5 мг 10 табл., 17 мг по 10 табл., 500 мг по 6 табл.</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Микробиология:</w:t>
            </w:r>
            <w:r w:rsidRPr="00647307">
              <w:rPr>
                <w:rFonts w:eastAsia="Times New Roman"/>
                <w:color w:val="000000"/>
                <w:sz w:val="22"/>
                <w:szCs w:val="22"/>
                <w:lang w:eastAsia="ru-RU"/>
              </w:rPr>
              <w:t> дезинфицирующие хлорные таблетки </w:t>
            </w:r>
            <w:r w:rsidRPr="00647307">
              <w:rPr>
                <w:rFonts w:eastAsia="Times New Roman"/>
                <w:b/>
                <w:bCs/>
                <w:color w:val="000000"/>
                <w:sz w:val="22"/>
                <w:szCs w:val="22"/>
                <w:lang w:eastAsia="ru-RU"/>
              </w:rPr>
              <w:t>«</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xml:space="preserve"> обладают бактерицидным, </w:t>
            </w:r>
            <w:proofErr w:type="spellStart"/>
            <w:r w:rsidRPr="00647307">
              <w:rPr>
                <w:rFonts w:eastAsia="Times New Roman"/>
                <w:color w:val="000000"/>
                <w:sz w:val="22"/>
                <w:szCs w:val="22"/>
                <w:lang w:eastAsia="ru-RU"/>
              </w:rPr>
              <w:t>вирулицидным</w:t>
            </w:r>
            <w:proofErr w:type="spellEnd"/>
            <w:r w:rsidRPr="00647307">
              <w:rPr>
                <w:rFonts w:eastAsia="Times New Roman"/>
                <w:color w:val="000000"/>
                <w:sz w:val="22"/>
                <w:szCs w:val="22"/>
                <w:lang w:eastAsia="ru-RU"/>
              </w:rPr>
              <w:t xml:space="preserve"> и </w:t>
            </w:r>
            <w:proofErr w:type="spellStart"/>
            <w:r w:rsidRPr="00647307">
              <w:rPr>
                <w:rFonts w:eastAsia="Times New Roman"/>
                <w:color w:val="000000"/>
                <w:sz w:val="22"/>
                <w:szCs w:val="22"/>
                <w:lang w:eastAsia="ru-RU"/>
              </w:rPr>
              <w:t>фунгицидным</w:t>
            </w:r>
            <w:proofErr w:type="spellEnd"/>
            <w:r w:rsidRPr="00647307">
              <w:rPr>
                <w:rFonts w:eastAsia="Times New Roman"/>
                <w:color w:val="000000"/>
                <w:sz w:val="22"/>
                <w:szCs w:val="22"/>
                <w:lang w:eastAsia="ru-RU"/>
              </w:rPr>
              <w:t xml:space="preserve"> действием.</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Токсичность:</w:t>
            </w:r>
            <w:r w:rsidRPr="00647307">
              <w:rPr>
                <w:rFonts w:eastAsia="Times New Roman"/>
                <w:color w:val="000000"/>
                <w:sz w:val="22"/>
                <w:szCs w:val="22"/>
                <w:lang w:eastAsia="ru-RU"/>
              </w:rPr>
              <w:t> по параметрам острой токсичности по ГОСТ 12.1.007-76 дезинфицирующие хлорные таблетки </w:t>
            </w:r>
            <w:r w:rsidRPr="00647307">
              <w:rPr>
                <w:rFonts w:eastAsia="Times New Roman"/>
                <w:b/>
                <w:bCs/>
                <w:color w:val="000000"/>
                <w:sz w:val="22"/>
                <w:szCs w:val="22"/>
                <w:lang w:eastAsia="ru-RU"/>
              </w:rPr>
              <w:t>«</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xml:space="preserve"> относятся к 3-му классу умеренно опасных веществ - при введении в желудок. Раздражающее действие оказывают рабочие растворы с содержанием активного хлора от 0,1 % до 0,2 %. Сенсибилизирующая активность, не выявлена. </w:t>
            </w:r>
            <w:proofErr w:type="spellStart"/>
            <w:r w:rsidRPr="00647307">
              <w:rPr>
                <w:rFonts w:eastAsia="Times New Roman"/>
                <w:color w:val="000000"/>
                <w:sz w:val="22"/>
                <w:szCs w:val="22"/>
                <w:lang w:eastAsia="ru-RU"/>
              </w:rPr>
              <w:t>Эмбриотропный</w:t>
            </w:r>
            <w:proofErr w:type="spellEnd"/>
            <w:r w:rsidRPr="00647307">
              <w:rPr>
                <w:rFonts w:eastAsia="Times New Roman"/>
                <w:color w:val="000000"/>
                <w:sz w:val="22"/>
                <w:szCs w:val="22"/>
                <w:lang w:eastAsia="ru-RU"/>
              </w:rPr>
              <w:t>, гонадотропный, канцерогенный и мутагенный эффекты не установлены.</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Применение:</w:t>
            </w:r>
            <w:r w:rsidRPr="00647307">
              <w:rPr>
                <w:rFonts w:eastAsia="Times New Roman"/>
                <w:color w:val="000000"/>
                <w:sz w:val="22"/>
                <w:szCs w:val="22"/>
                <w:lang w:eastAsia="ru-RU"/>
              </w:rPr>
              <w:t> при использовании дезинфицирующих хлорных таблеток </w:t>
            </w:r>
            <w:r w:rsidRPr="00647307">
              <w:rPr>
                <w:rFonts w:eastAsia="Times New Roman"/>
                <w:b/>
                <w:bCs/>
                <w:color w:val="000000"/>
                <w:sz w:val="22"/>
                <w:szCs w:val="22"/>
                <w:lang w:eastAsia="ru-RU"/>
              </w:rPr>
              <w:t>«</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xml:space="preserve"> для обеззараживания питьевой воды и при приготовлении рабочих растворов для дезинфекции различных объектов следует руководствоваться содержанием </w:t>
            </w:r>
            <w:proofErr w:type="spellStart"/>
            <w:r w:rsidRPr="00647307">
              <w:rPr>
                <w:rFonts w:eastAsia="Times New Roman"/>
                <w:color w:val="000000"/>
                <w:sz w:val="22"/>
                <w:szCs w:val="22"/>
                <w:lang w:eastAsia="ru-RU"/>
              </w:rPr>
              <w:t>Na</w:t>
            </w:r>
            <w:proofErr w:type="spellEnd"/>
            <w:r w:rsidRPr="00647307">
              <w:rPr>
                <w:rFonts w:eastAsia="Times New Roman"/>
                <w:color w:val="000000"/>
                <w:sz w:val="22"/>
                <w:szCs w:val="22"/>
                <w:lang w:eastAsia="ru-RU"/>
              </w:rPr>
              <w:t>-соли ДХЦК и количеством активного хлора в таблетке. Для дезинфекции различных объектов рекомендуется использовать растворы таблеток с содержанием активного хлора от 0,0025 до 0.2%</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Срок годности дезинфицирующих хлорных таблеток «</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3 — 5 лет в зависимости от вида упаковки.</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Условия хранения:</w:t>
            </w:r>
            <w:r w:rsidRPr="00647307">
              <w:rPr>
                <w:rFonts w:eastAsia="Times New Roman"/>
                <w:color w:val="000000"/>
                <w:sz w:val="22"/>
                <w:szCs w:val="22"/>
                <w:lang w:eastAsia="ru-RU"/>
              </w:rPr>
              <w:t> дезинфицирующие хлорные таблетки </w:t>
            </w:r>
            <w:r w:rsidRPr="00647307">
              <w:rPr>
                <w:rFonts w:eastAsia="Times New Roman"/>
                <w:b/>
                <w:bCs/>
                <w:color w:val="000000"/>
                <w:sz w:val="22"/>
                <w:szCs w:val="22"/>
                <w:lang w:eastAsia="ru-RU"/>
              </w:rPr>
              <w:t>«</w:t>
            </w:r>
            <w:proofErr w:type="spellStart"/>
            <w:r w:rsidRPr="00647307">
              <w:rPr>
                <w:rFonts w:eastAsia="Times New Roman"/>
                <w:b/>
                <w:bCs/>
                <w:color w:val="000000"/>
                <w:sz w:val="22"/>
                <w:szCs w:val="22"/>
                <w:lang w:eastAsia="ru-RU"/>
              </w:rPr>
              <w:t>Акватабс</w:t>
            </w:r>
            <w:proofErr w:type="spellEnd"/>
            <w:r w:rsidRPr="00647307">
              <w:rPr>
                <w:rFonts w:eastAsia="Times New Roman"/>
                <w:b/>
                <w:bCs/>
                <w:color w:val="000000"/>
                <w:sz w:val="22"/>
                <w:szCs w:val="22"/>
                <w:lang w:eastAsia="ru-RU"/>
              </w:rPr>
              <w:t>»</w:t>
            </w:r>
            <w:r w:rsidRPr="00647307">
              <w:rPr>
                <w:rFonts w:eastAsia="Times New Roman"/>
                <w:color w:val="000000"/>
                <w:sz w:val="22"/>
                <w:szCs w:val="22"/>
                <w:lang w:eastAsia="ru-RU"/>
              </w:rPr>
              <w:t> хранить отдельно от лекарственных средств. Емкости с дезинфицирующими растворами держать плотно закрытыми.</w:t>
            </w:r>
          </w:p>
          <w:p w:rsidR="00C23E97" w:rsidRPr="00647307" w:rsidRDefault="00C23E97" w:rsidP="00C23E97">
            <w:pPr>
              <w:spacing w:before="0"/>
              <w:jc w:val="left"/>
              <w:rPr>
                <w:rFonts w:eastAsia="Times New Roman"/>
                <w:color w:val="000000"/>
                <w:sz w:val="22"/>
                <w:szCs w:val="22"/>
                <w:lang w:eastAsia="ru-RU"/>
              </w:rPr>
            </w:pPr>
          </w:p>
        </w:tc>
        <w:tc>
          <w:tcPr>
            <w:tcW w:w="960" w:type="dxa"/>
            <w:tcBorders>
              <w:top w:val="single" w:sz="4" w:space="0" w:color="auto"/>
              <w:left w:val="nil"/>
              <w:bottom w:val="nil"/>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8</w:t>
            </w:r>
          </w:p>
        </w:tc>
      </w:tr>
      <w:tr w:rsidR="00C23E97" w:rsidRPr="00647307" w:rsidTr="00C23E97">
        <w:trPr>
          <w:trHeight w:val="150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3</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2"/>
                <w:lang w:eastAsia="ru-RU"/>
              </w:rPr>
            </w:pPr>
            <w:proofErr w:type="spellStart"/>
            <w:r w:rsidRPr="00647307">
              <w:rPr>
                <w:rFonts w:eastAsia="Times New Roman"/>
                <w:color w:val="000000"/>
                <w:sz w:val="22"/>
                <w:szCs w:val="22"/>
                <w:lang w:eastAsia="ru-RU"/>
              </w:rPr>
              <w:t>Ди</w:t>
            </w:r>
            <w:proofErr w:type="spellEnd"/>
            <w:r w:rsidRPr="00647307">
              <w:rPr>
                <w:rFonts w:eastAsia="Times New Roman"/>
                <w:color w:val="000000"/>
                <w:sz w:val="22"/>
                <w:szCs w:val="22"/>
                <w:lang w:eastAsia="ru-RU"/>
              </w:rPr>
              <w:t>-Хлор. Дезинфицирующее средство в виде таблеток</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4"/>
                <w:lang w:eastAsia="ru-RU"/>
              </w:rPr>
            </w:pPr>
            <w:r w:rsidRPr="00647307">
              <w:rPr>
                <w:rFonts w:eastAsia="Times New Roman"/>
                <w:color w:val="000000"/>
                <w:sz w:val="22"/>
                <w:szCs w:val="24"/>
                <w:lang w:eastAsia="ru-RU"/>
              </w:rPr>
              <w:t xml:space="preserve">300 </w:t>
            </w:r>
            <w:proofErr w:type="spellStart"/>
            <w:r w:rsidRPr="00647307">
              <w:rPr>
                <w:rFonts w:eastAsia="Times New Roman"/>
                <w:color w:val="000000"/>
                <w:sz w:val="22"/>
                <w:szCs w:val="24"/>
                <w:lang w:eastAsia="ru-RU"/>
              </w:rPr>
              <w:t>таб</w:t>
            </w:r>
            <w:proofErr w:type="spellEnd"/>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center"/>
              <w:rPr>
                <w:rFonts w:eastAsia="Times New Roman"/>
                <w:color w:val="000000"/>
                <w:sz w:val="22"/>
                <w:szCs w:val="22"/>
                <w:lang w:eastAsia="ru-RU"/>
              </w:rPr>
            </w:pPr>
            <w:r w:rsidRPr="00647307">
              <w:rPr>
                <w:rFonts w:eastAsia="Times New Roman"/>
                <w:color w:val="000000"/>
                <w:sz w:val="22"/>
                <w:szCs w:val="22"/>
                <w:lang w:eastAsia="ru-RU"/>
              </w:rPr>
              <w:t>упаковка</w:t>
            </w:r>
          </w:p>
        </w:tc>
        <w:tc>
          <w:tcPr>
            <w:tcW w:w="9091"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left"/>
              <w:rPr>
                <w:rFonts w:ascii="Calibri" w:eastAsia="Times New Roman" w:hAnsi="Calibri"/>
                <w:color w:val="000000"/>
                <w:sz w:val="22"/>
                <w:szCs w:val="22"/>
                <w:lang w:eastAsia="ru-RU"/>
              </w:rPr>
            </w:pPr>
            <w:r w:rsidRPr="00647307">
              <w:rPr>
                <w:rFonts w:eastAsia="Times New Roman"/>
                <w:color w:val="000000"/>
                <w:sz w:val="22"/>
                <w:szCs w:val="22"/>
                <w:lang w:eastAsia="ru-RU"/>
              </w:rPr>
              <w:t> </w:t>
            </w:r>
            <w:r w:rsidRPr="00647307">
              <w:rPr>
                <w:rFonts w:ascii="Calibri" w:eastAsia="Times New Roman" w:hAnsi="Calibri"/>
                <w:b/>
                <w:bCs/>
                <w:color w:val="000000"/>
                <w:sz w:val="22"/>
                <w:szCs w:val="22"/>
                <w:lang w:eastAsia="ru-RU"/>
              </w:rPr>
              <w:t>Описание:</w:t>
            </w:r>
            <w:r w:rsidRPr="00647307">
              <w:rPr>
                <w:rFonts w:ascii="Calibri" w:eastAsia="Times New Roman" w:hAnsi="Calibri"/>
                <w:color w:val="000000"/>
                <w:sz w:val="22"/>
                <w:szCs w:val="22"/>
                <w:lang w:eastAsia="ru-RU"/>
              </w:rPr>
              <w:t> дезинфицирующее средство (таблетки)</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Производство:</w:t>
            </w:r>
            <w:r w:rsidRPr="00647307">
              <w:rPr>
                <w:rFonts w:eastAsia="Times New Roman"/>
                <w:color w:val="000000"/>
                <w:sz w:val="22"/>
                <w:szCs w:val="22"/>
                <w:lang w:eastAsia="ru-RU"/>
              </w:rPr>
              <w:t> Россия</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Назначение:</w:t>
            </w:r>
            <w:r w:rsidRPr="00647307">
              <w:rPr>
                <w:rFonts w:eastAsia="Times New Roman"/>
                <w:color w:val="000000"/>
                <w:sz w:val="22"/>
                <w:szCs w:val="22"/>
                <w:lang w:eastAsia="ru-RU"/>
              </w:rPr>
              <w:t> дезинфицирующее средство “</w:t>
            </w:r>
            <w:proofErr w:type="spellStart"/>
            <w:r w:rsidRPr="00647307">
              <w:rPr>
                <w:rFonts w:eastAsia="Times New Roman"/>
                <w:color w:val="000000"/>
                <w:sz w:val="22"/>
                <w:szCs w:val="22"/>
                <w:lang w:eastAsia="ru-RU"/>
              </w:rPr>
              <w:t>Дез</w:t>
            </w:r>
            <w:proofErr w:type="spellEnd"/>
            <w:r w:rsidRPr="00647307">
              <w:rPr>
                <w:rFonts w:eastAsia="Times New Roman"/>
                <w:color w:val="000000"/>
                <w:sz w:val="22"/>
                <w:szCs w:val="22"/>
                <w:lang w:eastAsia="ru-RU"/>
              </w:rPr>
              <w:t xml:space="preserve">-Хлор” предназначено для обеззараживания поверхностей в помещениях, жесткой мебели, санитарно-технического оборудования, резиновых ковриков, белья, посуды столовой и лабораторной (в том числе однократного использования), предметов для мытья посуды, игрушек, предметов ухода за больными, уборочного инвентаря, медицинских отходов (перевязочный материал, ИМН однократного применения), мочи, мокроты, изделий медицинского назначения при инфекциях бактериальной (включая туберкулез) и вирусной этиологии, кандидозах и </w:t>
            </w:r>
            <w:proofErr w:type="spellStart"/>
            <w:r w:rsidRPr="00647307">
              <w:rPr>
                <w:rFonts w:eastAsia="Times New Roman"/>
                <w:color w:val="000000"/>
                <w:sz w:val="22"/>
                <w:szCs w:val="22"/>
                <w:lang w:eastAsia="ru-RU"/>
              </w:rPr>
              <w:t>дерматофитиях</w:t>
            </w:r>
            <w:proofErr w:type="spellEnd"/>
            <w:r w:rsidRPr="00647307">
              <w:rPr>
                <w:rFonts w:eastAsia="Times New Roman"/>
                <w:color w:val="000000"/>
                <w:sz w:val="22"/>
                <w:szCs w:val="22"/>
                <w:lang w:eastAsia="ru-RU"/>
              </w:rPr>
              <w:t>; при проведении заключительной, текущей и профилактической дезинфекции в инфекционных очагах, лечебно-профилактических учреждениях, в детских учреждениях, в клинических, микробиологических, вирусологических лабораториях, на санитарном транспорте, проведения генеральных уборок, для профилактической дезинфекции на коммунальных объектах (гостиницы, общежития, парикмахерские, общественные туалеты и др.), учреждениях культуры, отдыха, спорта (кинотеатры, офисы, спортивные и культурно-оздоровительные комплексы, бассейны и др.), предприятиях общественного питания и торговли, для генеральных уборок в детских учреждениях, а также населением в быту.</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Состав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 </w:t>
            </w:r>
            <w:r w:rsidRPr="00647307">
              <w:rPr>
                <w:rFonts w:eastAsia="Times New Roman"/>
                <w:color w:val="000000"/>
                <w:sz w:val="22"/>
                <w:szCs w:val="22"/>
                <w:lang w:eastAsia="ru-RU"/>
              </w:rPr>
              <w:t xml:space="preserve">содержит в качестве действующего вещества натриевую соль </w:t>
            </w:r>
            <w:proofErr w:type="spellStart"/>
            <w:r w:rsidRPr="00647307">
              <w:rPr>
                <w:rFonts w:eastAsia="Times New Roman"/>
                <w:color w:val="000000"/>
                <w:sz w:val="22"/>
                <w:szCs w:val="22"/>
                <w:lang w:eastAsia="ru-RU"/>
              </w:rPr>
              <w:t>дихлоризоциануровой</w:t>
            </w:r>
            <w:proofErr w:type="spellEnd"/>
            <w:r w:rsidRPr="00647307">
              <w:rPr>
                <w:rFonts w:eastAsia="Times New Roman"/>
                <w:color w:val="000000"/>
                <w:sz w:val="22"/>
                <w:szCs w:val="22"/>
                <w:lang w:eastAsia="ru-RU"/>
              </w:rPr>
              <w:t xml:space="preserve"> кислоты в количестве 84 %, кроме того, содержит функциональные добавки.</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Консистенция, свойства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w:t>
            </w:r>
            <w:r w:rsidRPr="00647307">
              <w:rPr>
                <w:rFonts w:eastAsia="Times New Roman"/>
                <w:color w:val="000000"/>
                <w:sz w:val="22"/>
                <w:szCs w:val="22"/>
                <w:lang w:eastAsia="ru-RU"/>
              </w:rPr>
              <w:t> выпускается в виде таблеток белого цвета с хлорным запахом, массой 3,35 г. При растворении одной таблетки в воде выделяется 1,5 г активного хлора (АХ). Средство хорошо растворимо в воде. Водные растворы прозрачные, имеют запах хлора. Для придания моющих свойств к растворам препарата добавляют моющие средства, разрешенные для применения в лечебно-профилактических учреждениях (ЛПУ).</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Микробиология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w:t>
            </w:r>
            <w:r w:rsidRPr="00647307">
              <w:rPr>
                <w:rFonts w:eastAsia="Times New Roman"/>
                <w:color w:val="000000"/>
                <w:sz w:val="22"/>
                <w:szCs w:val="22"/>
                <w:lang w:eastAsia="ru-RU"/>
              </w:rPr>
              <w:t xml:space="preserve"> средство обладает антимикробным действием в отношении бактерий (включая микобактерии туберкулеза), вирусов (возбудителей полиомиелита, энтеровирусных инфекций, </w:t>
            </w:r>
            <w:proofErr w:type="spellStart"/>
            <w:r w:rsidRPr="00647307">
              <w:rPr>
                <w:rFonts w:eastAsia="Times New Roman"/>
                <w:color w:val="000000"/>
                <w:sz w:val="22"/>
                <w:szCs w:val="22"/>
                <w:lang w:eastAsia="ru-RU"/>
              </w:rPr>
              <w:t>Коксаки</w:t>
            </w:r>
            <w:proofErr w:type="spellEnd"/>
            <w:r w:rsidRPr="00647307">
              <w:rPr>
                <w:rFonts w:eastAsia="Times New Roman"/>
                <w:color w:val="000000"/>
                <w:sz w:val="22"/>
                <w:szCs w:val="22"/>
                <w:lang w:eastAsia="ru-RU"/>
              </w:rPr>
              <w:t xml:space="preserve">, ЕСНО, </w:t>
            </w:r>
            <w:proofErr w:type="spellStart"/>
            <w:r w:rsidRPr="00647307">
              <w:rPr>
                <w:rFonts w:eastAsia="Times New Roman"/>
                <w:color w:val="000000"/>
                <w:sz w:val="22"/>
                <w:szCs w:val="22"/>
                <w:lang w:eastAsia="ru-RU"/>
              </w:rPr>
              <w:t>энтеральных</w:t>
            </w:r>
            <w:proofErr w:type="spellEnd"/>
            <w:r w:rsidRPr="00647307">
              <w:rPr>
                <w:rFonts w:eastAsia="Times New Roman"/>
                <w:color w:val="000000"/>
                <w:sz w:val="22"/>
                <w:szCs w:val="22"/>
                <w:lang w:eastAsia="ru-RU"/>
              </w:rPr>
              <w:t xml:space="preserve"> и парентеральных гепатитов, ВИЧ-инфекции; гриппа и др. ОРВИ, “птичьего </w:t>
            </w:r>
            <w:r w:rsidRPr="00647307">
              <w:rPr>
                <w:rFonts w:eastAsia="Times New Roman"/>
                <w:color w:val="000000"/>
                <w:sz w:val="22"/>
                <w:szCs w:val="22"/>
                <w:lang w:eastAsia="ru-RU"/>
              </w:rPr>
              <w:lastRenderedPageBreak/>
              <w:t xml:space="preserve">гриппа H5N1”, герпетической, аденовирусной и др. инфекций), грибов рода </w:t>
            </w:r>
            <w:proofErr w:type="spellStart"/>
            <w:r w:rsidRPr="00647307">
              <w:rPr>
                <w:rFonts w:eastAsia="Times New Roman"/>
                <w:color w:val="000000"/>
                <w:sz w:val="22"/>
                <w:szCs w:val="22"/>
                <w:lang w:eastAsia="ru-RU"/>
              </w:rPr>
              <w:t>Кандида</w:t>
            </w:r>
            <w:proofErr w:type="spellEnd"/>
            <w:r w:rsidRPr="00647307">
              <w:rPr>
                <w:rFonts w:eastAsia="Times New Roman"/>
                <w:color w:val="000000"/>
                <w:sz w:val="22"/>
                <w:szCs w:val="22"/>
                <w:lang w:eastAsia="ru-RU"/>
              </w:rPr>
              <w:t xml:space="preserve">, </w:t>
            </w:r>
            <w:proofErr w:type="spellStart"/>
            <w:r w:rsidRPr="00647307">
              <w:rPr>
                <w:rFonts w:eastAsia="Times New Roman"/>
                <w:color w:val="000000"/>
                <w:sz w:val="22"/>
                <w:szCs w:val="22"/>
                <w:lang w:eastAsia="ru-RU"/>
              </w:rPr>
              <w:t>дерматофитов</w:t>
            </w:r>
            <w:proofErr w:type="spellEnd"/>
            <w:r w:rsidRPr="00647307">
              <w:rPr>
                <w:rFonts w:eastAsia="Times New Roman"/>
                <w:color w:val="000000"/>
                <w:sz w:val="22"/>
                <w:szCs w:val="22"/>
                <w:lang w:eastAsia="ru-RU"/>
              </w:rPr>
              <w:t>.</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Норма расхода для готовых растворов:</w:t>
            </w:r>
            <w:r w:rsidRPr="00647307">
              <w:rPr>
                <w:rFonts w:eastAsia="Times New Roman"/>
                <w:color w:val="000000"/>
                <w:sz w:val="22"/>
                <w:szCs w:val="22"/>
                <w:lang w:eastAsia="ru-RU"/>
              </w:rPr>
              <w:t xml:space="preserve"> поверхности в помещениях (пол, стены и др.), жесткую мебель, санитарно-техническое оборудование (ванны, раковины и др.), санитарный транспорт протирают ветошью, смоченной в растворе средства, или орошают из гидропульта, </w:t>
            </w:r>
            <w:proofErr w:type="spellStart"/>
            <w:r w:rsidRPr="00647307">
              <w:rPr>
                <w:rFonts w:eastAsia="Times New Roman"/>
                <w:color w:val="000000"/>
                <w:sz w:val="22"/>
                <w:szCs w:val="22"/>
                <w:lang w:eastAsia="ru-RU"/>
              </w:rPr>
              <w:t>автомакса</w:t>
            </w:r>
            <w:proofErr w:type="spellEnd"/>
            <w:r w:rsidRPr="00647307">
              <w:rPr>
                <w:rFonts w:eastAsia="Times New Roman"/>
                <w:color w:val="000000"/>
                <w:sz w:val="22"/>
                <w:szCs w:val="22"/>
                <w:lang w:eastAsia="ru-RU"/>
              </w:rPr>
              <w:t>, распылителя типа “Квазар”. Норма расхода раствора средства при протирании – 150 мл/м</w:t>
            </w:r>
            <w:proofErr w:type="gramStart"/>
            <w:r w:rsidRPr="00647307">
              <w:rPr>
                <w:rFonts w:eastAsia="Times New Roman"/>
                <w:color w:val="000000"/>
                <w:sz w:val="22"/>
                <w:szCs w:val="22"/>
                <w:lang w:eastAsia="ru-RU"/>
              </w:rPr>
              <w:t>² ,</w:t>
            </w:r>
            <w:proofErr w:type="gramEnd"/>
            <w:r w:rsidRPr="00647307">
              <w:rPr>
                <w:rFonts w:eastAsia="Times New Roman"/>
                <w:color w:val="000000"/>
                <w:sz w:val="22"/>
                <w:szCs w:val="22"/>
                <w:lang w:eastAsia="ru-RU"/>
              </w:rPr>
              <w:t xml:space="preserve"> при использовании в сочетании с моющим средством – 100 мл/м² , при орошении - 300 мл/м² (гидропульт, </w:t>
            </w:r>
            <w:proofErr w:type="spellStart"/>
            <w:r w:rsidRPr="00647307">
              <w:rPr>
                <w:rFonts w:eastAsia="Times New Roman"/>
                <w:color w:val="000000"/>
                <w:sz w:val="22"/>
                <w:szCs w:val="22"/>
                <w:lang w:eastAsia="ru-RU"/>
              </w:rPr>
              <w:t>автомакс</w:t>
            </w:r>
            <w:proofErr w:type="spellEnd"/>
            <w:r w:rsidRPr="00647307">
              <w:rPr>
                <w:rFonts w:eastAsia="Times New Roman"/>
                <w:color w:val="000000"/>
                <w:sz w:val="22"/>
                <w:szCs w:val="22"/>
                <w:lang w:eastAsia="ru-RU"/>
              </w:rPr>
              <w:t>), 150 мл/м² (распылитель типа “Квазар”). После окончании дезинфекции санитарно-техническое оборудование промывают водой, помещение проветривают.</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Токсичность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 </w:t>
            </w:r>
            <w:r w:rsidRPr="00647307">
              <w:rPr>
                <w:rFonts w:eastAsia="Times New Roman"/>
                <w:color w:val="000000"/>
                <w:sz w:val="22"/>
                <w:szCs w:val="22"/>
                <w:lang w:eastAsia="ru-RU"/>
              </w:rPr>
              <w:t xml:space="preserve">средство по параметрам острой токсичности по ГОСТ 12.1.007-76 относится к 3 классу умеренно опасных веществ при введении в желудок, к 4 классу мало опасных веществ при нанесении на кожу; по классификации </w:t>
            </w:r>
            <w:proofErr w:type="spellStart"/>
            <w:r w:rsidRPr="00647307">
              <w:rPr>
                <w:rFonts w:eastAsia="Times New Roman"/>
                <w:color w:val="000000"/>
                <w:sz w:val="22"/>
                <w:szCs w:val="22"/>
                <w:lang w:eastAsia="ru-RU"/>
              </w:rPr>
              <w:t>К.К.Сидорова</w:t>
            </w:r>
            <w:proofErr w:type="spellEnd"/>
            <w:r w:rsidRPr="00647307">
              <w:rPr>
                <w:rFonts w:eastAsia="Times New Roman"/>
                <w:color w:val="000000"/>
                <w:sz w:val="22"/>
                <w:szCs w:val="22"/>
                <w:lang w:eastAsia="ru-RU"/>
              </w:rPr>
              <w:t xml:space="preserve"> при парентеральном введении (в брюшную полость) относится к 4 классу мало токсичных веществ; при непосредственном контакте вызывает выраженное раздражение кожи и слизистых оболочек глаз; не обладает сенсибилизирующим свойством.</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Применение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w:t>
            </w:r>
            <w:r w:rsidRPr="00647307">
              <w:rPr>
                <w:rFonts w:eastAsia="Times New Roman"/>
                <w:color w:val="000000"/>
                <w:sz w:val="22"/>
                <w:szCs w:val="22"/>
                <w:lang w:eastAsia="ru-RU"/>
              </w:rPr>
              <w:t> растворы средства используют способами протирания, орошения, замачивания, погружения.</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Срок хранения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w:t>
            </w:r>
            <w:r w:rsidRPr="00647307">
              <w:rPr>
                <w:rFonts w:eastAsia="Times New Roman"/>
                <w:color w:val="000000"/>
                <w:sz w:val="22"/>
                <w:szCs w:val="22"/>
                <w:lang w:eastAsia="ru-RU"/>
              </w:rPr>
              <w:t> 3 года, рабочих растворов средства - 3 суток.</w:t>
            </w:r>
          </w:p>
          <w:p w:rsidR="00C23E97" w:rsidRPr="00647307" w:rsidRDefault="00C23E97" w:rsidP="00C23E97">
            <w:pPr>
              <w:spacing w:before="0"/>
              <w:jc w:val="left"/>
              <w:rPr>
                <w:rFonts w:eastAsia="Times New Roman"/>
                <w:color w:val="000000"/>
                <w:sz w:val="22"/>
                <w:szCs w:val="22"/>
                <w:lang w:eastAsia="ru-RU"/>
              </w:rPr>
            </w:pPr>
            <w:r w:rsidRPr="00647307">
              <w:rPr>
                <w:rFonts w:eastAsia="Times New Roman"/>
                <w:b/>
                <w:bCs/>
                <w:color w:val="000000"/>
                <w:sz w:val="22"/>
                <w:szCs w:val="22"/>
                <w:lang w:eastAsia="ru-RU"/>
              </w:rPr>
              <w:t>Условия хранения дезинфицирующего средства “</w:t>
            </w:r>
            <w:proofErr w:type="spellStart"/>
            <w:r w:rsidRPr="00647307">
              <w:rPr>
                <w:rFonts w:eastAsia="Times New Roman"/>
                <w:b/>
                <w:bCs/>
                <w:color w:val="000000"/>
                <w:sz w:val="22"/>
                <w:szCs w:val="22"/>
                <w:lang w:eastAsia="ru-RU"/>
              </w:rPr>
              <w:t>Дез</w:t>
            </w:r>
            <w:proofErr w:type="spellEnd"/>
            <w:r w:rsidRPr="00647307">
              <w:rPr>
                <w:rFonts w:eastAsia="Times New Roman"/>
                <w:b/>
                <w:bCs/>
                <w:color w:val="000000"/>
                <w:sz w:val="22"/>
                <w:szCs w:val="22"/>
                <w:lang w:eastAsia="ru-RU"/>
              </w:rPr>
              <w:t xml:space="preserve"> – хлор”: </w:t>
            </w:r>
            <w:r w:rsidRPr="00647307">
              <w:rPr>
                <w:rFonts w:eastAsia="Times New Roman"/>
                <w:color w:val="000000"/>
                <w:sz w:val="22"/>
                <w:szCs w:val="22"/>
                <w:lang w:eastAsia="ru-RU"/>
              </w:rPr>
              <w:t>средство хранят в крытом проветриваемом помещении при температуре от минус 10°С до плюс 30 °С, в местах, недоступных детям, отдельно от лекарственных препаратов и пищевых продуктов.</w:t>
            </w:r>
          </w:p>
          <w:p w:rsidR="00C23E97" w:rsidRPr="00647307" w:rsidRDefault="00C23E97" w:rsidP="00C23E97">
            <w:pPr>
              <w:spacing w:before="0"/>
              <w:jc w:val="left"/>
              <w:rPr>
                <w:rFonts w:eastAsia="Times New Roman"/>
                <w:color w:val="000000"/>
                <w:sz w:val="22"/>
                <w:szCs w:val="22"/>
                <w:lang w:eastAsia="ru-RU"/>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216</w:t>
            </w:r>
          </w:p>
        </w:tc>
      </w:tr>
      <w:tr w:rsidR="00C23E97" w:rsidRPr="00647307" w:rsidTr="00C23E97">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4</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4"/>
                <w:lang w:eastAsia="ru-RU"/>
              </w:rPr>
            </w:pPr>
            <w:proofErr w:type="spellStart"/>
            <w:r w:rsidRPr="00647307">
              <w:rPr>
                <w:rFonts w:eastAsia="Times New Roman"/>
                <w:color w:val="000000"/>
                <w:sz w:val="22"/>
                <w:szCs w:val="24"/>
                <w:lang w:eastAsia="ru-RU"/>
              </w:rPr>
              <w:t>Диадез</w:t>
            </w:r>
            <w:proofErr w:type="spellEnd"/>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jc w:val="left"/>
              <w:rPr>
                <w:rFonts w:eastAsia="Times New Roman"/>
                <w:color w:val="000000"/>
                <w:sz w:val="22"/>
                <w:szCs w:val="24"/>
                <w:lang w:eastAsia="ru-RU"/>
              </w:rPr>
            </w:pPr>
            <w:r w:rsidRPr="00647307">
              <w:rPr>
                <w:rFonts w:eastAsia="Times New Roman"/>
                <w:color w:val="000000"/>
                <w:sz w:val="22"/>
                <w:szCs w:val="24"/>
                <w:lang w:eastAsia="ru-RU"/>
              </w:rPr>
              <w:t>5л</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C23E97" w:rsidRPr="00647307" w:rsidRDefault="00C23E97" w:rsidP="00C23E97">
            <w:pPr>
              <w:spacing w:before="0"/>
              <w:jc w:val="center"/>
              <w:rPr>
                <w:rFonts w:eastAsia="Times New Roman"/>
                <w:color w:val="000000"/>
                <w:sz w:val="22"/>
                <w:szCs w:val="24"/>
                <w:lang w:eastAsia="ru-RU"/>
              </w:rPr>
            </w:pPr>
            <w:proofErr w:type="spellStart"/>
            <w:r w:rsidRPr="00647307">
              <w:rPr>
                <w:rFonts w:eastAsia="Times New Roman"/>
                <w:color w:val="000000"/>
                <w:sz w:val="22"/>
                <w:szCs w:val="24"/>
                <w:lang w:eastAsia="ru-RU"/>
              </w:rPr>
              <w:t>шт</w:t>
            </w:r>
            <w:proofErr w:type="spellEnd"/>
          </w:p>
        </w:tc>
        <w:tc>
          <w:tcPr>
            <w:tcW w:w="9091" w:type="dxa"/>
            <w:tcBorders>
              <w:top w:val="single" w:sz="4" w:space="0" w:color="auto"/>
              <w:left w:val="nil"/>
              <w:bottom w:val="single" w:sz="4" w:space="0" w:color="auto"/>
              <w:right w:val="single" w:sz="4" w:space="0" w:color="auto"/>
            </w:tcBorders>
            <w:shd w:val="clear" w:color="auto" w:fill="auto"/>
            <w:vAlign w:val="center"/>
            <w:hideMark/>
          </w:tcPr>
          <w:p w:rsidR="00C23E97" w:rsidRPr="00647307" w:rsidRDefault="00C23E97" w:rsidP="00C23E97">
            <w:pPr>
              <w:spacing w:before="0" w:after="160"/>
              <w:jc w:val="left"/>
              <w:rPr>
                <w:rFonts w:ascii="Calibri" w:eastAsia="Times New Roman" w:hAnsi="Calibri"/>
                <w:color w:val="000000"/>
                <w:sz w:val="22"/>
                <w:szCs w:val="16"/>
                <w:lang w:eastAsia="ru-RU"/>
              </w:rPr>
            </w:pPr>
            <w:r w:rsidRPr="00647307">
              <w:rPr>
                <w:rFonts w:eastAsia="Times New Roman"/>
                <w:color w:val="000000"/>
                <w:sz w:val="22"/>
                <w:szCs w:val="16"/>
                <w:lang w:eastAsia="ru-RU"/>
              </w:rPr>
              <w:t> </w:t>
            </w:r>
            <w:r w:rsidRPr="00647307">
              <w:rPr>
                <w:rFonts w:ascii="Calibri" w:eastAsia="Times New Roman" w:hAnsi="Calibri"/>
                <w:color w:val="000000"/>
                <w:sz w:val="22"/>
                <w:szCs w:val="16"/>
                <w:lang w:eastAsia="ru-RU"/>
              </w:rPr>
              <w:t> </w:t>
            </w:r>
            <w:r w:rsidRPr="00647307">
              <w:rPr>
                <w:rFonts w:ascii="Calibri" w:eastAsia="Times New Roman" w:hAnsi="Calibri"/>
                <w:b/>
                <w:bCs/>
                <w:color w:val="000000"/>
                <w:sz w:val="22"/>
                <w:szCs w:val="16"/>
                <w:lang w:eastAsia="ru-RU"/>
              </w:rPr>
              <w:t>Назначение:</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 xml:space="preserve">дезинфекция поверхностей в помещениях, мягких напольных покрытий, жесткой и мягкой мебели, поверхностей медицинских и специальных аппаратов, приборов, комплектующих деталей наркозно-дыхательной аппаратуры, анестезиологического оборудования, санитарно-технического оборудования, изделий медицинского назначения, белья и одежды (нательного и постельного </w:t>
            </w:r>
            <w:r w:rsidRPr="00647307">
              <w:rPr>
                <w:rFonts w:eastAsia="Times New Roman"/>
                <w:color w:val="000000"/>
                <w:sz w:val="22"/>
                <w:szCs w:val="16"/>
                <w:lang w:eastAsia="ru-RU"/>
              </w:rPr>
              <w:lastRenderedPageBreak/>
              <w:t>белья, спецодежды персонала и др.), обуви с целью профилактики инфекций грибковой этиологии (</w:t>
            </w:r>
            <w:proofErr w:type="spellStart"/>
            <w:r w:rsidRPr="00647307">
              <w:rPr>
                <w:rFonts w:eastAsia="Times New Roman"/>
                <w:color w:val="000000"/>
                <w:sz w:val="22"/>
                <w:szCs w:val="16"/>
                <w:lang w:eastAsia="ru-RU"/>
              </w:rPr>
              <w:t>дерматофитии</w:t>
            </w:r>
            <w:proofErr w:type="spellEnd"/>
            <w:r w:rsidRPr="00647307">
              <w:rPr>
                <w:rFonts w:eastAsia="Times New Roman"/>
                <w:color w:val="000000"/>
                <w:sz w:val="22"/>
                <w:szCs w:val="16"/>
                <w:lang w:eastAsia="ru-RU"/>
              </w:rPr>
              <w:t xml:space="preserve">), посуды (столовой, аптечной, лабораторной, в </w:t>
            </w:r>
            <w:proofErr w:type="spellStart"/>
            <w:r w:rsidRPr="00647307">
              <w:rPr>
                <w:rFonts w:eastAsia="Times New Roman"/>
                <w:color w:val="000000"/>
                <w:sz w:val="22"/>
                <w:szCs w:val="16"/>
                <w:lang w:eastAsia="ru-RU"/>
              </w:rPr>
              <w:t>т.ч</w:t>
            </w:r>
            <w:proofErr w:type="spellEnd"/>
            <w:r w:rsidRPr="00647307">
              <w:rPr>
                <w:rFonts w:eastAsia="Times New Roman"/>
                <w:color w:val="000000"/>
                <w:sz w:val="22"/>
                <w:szCs w:val="16"/>
                <w:lang w:eastAsia="ru-RU"/>
              </w:rPr>
              <w:t>. одноразовой), предметов для мытья посуды, игрушек, спортивного инвентаря, уборочного материала и инвентаря, резиновых и полипропиленовых ковриков в ЛПУ и инфекционных очагах, а также для дезинфекции в детских учреждениях, на коммунальных объектах, на предприятиях общественного питания и продовольственной торговли, на потребительских рынках, гостиницах, общежитиях, бассейнах, аквапарках, банях, саунах, местах массового скопления людей;</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дезинфекция медицинских отходов, систем вентиляции и кондиционирования воздуха, поверхностей, пораженных плесенью;</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дезинфекции подвижного состава и объектов инфраструктуры автомобильного и городского электрического пассажирского транспорта;</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обеззараживание твердых бытовых отходов (ТБО) на городских и прочих свалках;</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 xml:space="preserve">дезинфекция, чистка, мойка и </w:t>
            </w:r>
            <w:proofErr w:type="spellStart"/>
            <w:r w:rsidRPr="00647307">
              <w:rPr>
                <w:rFonts w:eastAsia="Times New Roman"/>
                <w:color w:val="000000"/>
                <w:sz w:val="22"/>
                <w:szCs w:val="16"/>
                <w:lang w:eastAsia="ru-RU"/>
              </w:rPr>
              <w:t>дезодорирование</w:t>
            </w:r>
            <w:proofErr w:type="spellEnd"/>
            <w:r w:rsidRPr="00647307">
              <w:rPr>
                <w:rFonts w:eastAsia="Times New Roman"/>
                <w:color w:val="000000"/>
                <w:sz w:val="22"/>
                <w:szCs w:val="16"/>
                <w:lang w:eastAsia="ru-RU"/>
              </w:rPr>
              <w:t xml:space="preserve"> мусороуборочного оборудования, мусоровозов, мусорных баков и мусоросборников, мусоропроводов;</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r w:rsidRPr="00647307">
              <w:rPr>
                <w:rFonts w:eastAsia="Times New Roman"/>
                <w:color w:val="000000"/>
                <w:sz w:val="22"/>
                <w:szCs w:val="16"/>
                <w:lang w:eastAsia="ru-RU"/>
              </w:rPr>
              <w:t>обеззараживание фекально-мочевой смеси в накопительных баках автономных туалетов, не имеющих отвода в канализацию, а также поверхностей в кабинах автономных туалетов и биотуалетов.</w:t>
            </w:r>
          </w:p>
          <w:p w:rsidR="00C23E97" w:rsidRPr="00647307" w:rsidRDefault="00C23E97" w:rsidP="00C23E97">
            <w:pPr>
              <w:numPr>
                <w:ilvl w:val="0"/>
                <w:numId w:val="29"/>
              </w:numPr>
              <w:spacing w:before="0" w:after="160" w:line="259" w:lineRule="auto"/>
              <w:jc w:val="left"/>
              <w:rPr>
                <w:rFonts w:eastAsia="Times New Roman"/>
                <w:color w:val="000000"/>
                <w:sz w:val="22"/>
                <w:szCs w:val="16"/>
                <w:lang w:eastAsia="ru-RU"/>
              </w:rPr>
            </w:pPr>
            <w:proofErr w:type="spellStart"/>
            <w:r w:rsidRPr="00647307">
              <w:rPr>
                <w:rFonts w:eastAsia="Times New Roman"/>
                <w:color w:val="000000"/>
                <w:sz w:val="22"/>
                <w:szCs w:val="16"/>
                <w:lang w:eastAsia="ru-RU"/>
              </w:rPr>
              <w:t>предстерилизационная</w:t>
            </w:r>
            <w:proofErr w:type="spellEnd"/>
            <w:r w:rsidRPr="00647307">
              <w:rPr>
                <w:rFonts w:eastAsia="Times New Roman"/>
                <w:color w:val="000000"/>
                <w:sz w:val="22"/>
                <w:szCs w:val="16"/>
                <w:lang w:eastAsia="ru-RU"/>
              </w:rPr>
              <w:t xml:space="preserve"> очистка, совмещенная и </w:t>
            </w:r>
            <w:proofErr w:type="spellStart"/>
            <w:r w:rsidRPr="00647307">
              <w:rPr>
                <w:rFonts w:eastAsia="Times New Roman"/>
                <w:color w:val="000000"/>
                <w:sz w:val="22"/>
                <w:szCs w:val="16"/>
                <w:lang w:eastAsia="ru-RU"/>
              </w:rPr>
              <w:t>несовмещенная</w:t>
            </w:r>
            <w:proofErr w:type="spellEnd"/>
            <w:r w:rsidRPr="00647307">
              <w:rPr>
                <w:rFonts w:eastAsia="Times New Roman"/>
                <w:color w:val="000000"/>
                <w:sz w:val="22"/>
                <w:szCs w:val="16"/>
                <w:lang w:eastAsia="ru-RU"/>
              </w:rPr>
              <w:t xml:space="preserve"> с дезинфекцией.</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Свойства:</w:t>
            </w:r>
            <w:r w:rsidRPr="00647307">
              <w:rPr>
                <w:rFonts w:eastAsia="Times New Roman"/>
                <w:color w:val="000000"/>
                <w:sz w:val="22"/>
                <w:szCs w:val="16"/>
                <w:lang w:eastAsia="ru-RU"/>
              </w:rPr>
              <w:t xml:space="preserve"> обладает антимикробной активностью в отношении бактерий (включая микобактерии туберкулеза, возбудителей внутрибольничных инфекций, анаэробной инфекции, особо опасных инфекций - чумы, холеры, туляремии, легионеллеза), вирусов (включая аденовирусы, вирусы гриппа, </w:t>
            </w:r>
            <w:proofErr w:type="spellStart"/>
            <w:r w:rsidRPr="00647307">
              <w:rPr>
                <w:rFonts w:eastAsia="Times New Roman"/>
                <w:color w:val="000000"/>
                <w:sz w:val="22"/>
                <w:szCs w:val="16"/>
                <w:lang w:eastAsia="ru-RU"/>
              </w:rPr>
              <w:t>парагриппа</w:t>
            </w:r>
            <w:proofErr w:type="spellEnd"/>
            <w:r w:rsidRPr="00647307">
              <w:rPr>
                <w:rFonts w:eastAsia="Times New Roman"/>
                <w:color w:val="000000"/>
                <w:sz w:val="22"/>
                <w:szCs w:val="16"/>
                <w:lang w:eastAsia="ru-RU"/>
              </w:rPr>
              <w:t xml:space="preserve">, </w:t>
            </w:r>
            <w:proofErr w:type="spellStart"/>
            <w:r w:rsidRPr="00647307">
              <w:rPr>
                <w:rFonts w:eastAsia="Times New Roman"/>
                <w:color w:val="000000"/>
                <w:sz w:val="22"/>
                <w:szCs w:val="16"/>
                <w:lang w:eastAsia="ru-RU"/>
              </w:rPr>
              <w:t>энтеровирусы</w:t>
            </w:r>
            <w:proofErr w:type="spellEnd"/>
            <w:r w:rsidRPr="00647307">
              <w:rPr>
                <w:rFonts w:eastAsia="Times New Roman"/>
                <w:color w:val="000000"/>
                <w:sz w:val="22"/>
                <w:szCs w:val="16"/>
                <w:lang w:eastAsia="ru-RU"/>
              </w:rPr>
              <w:t xml:space="preserve">, </w:t>
            </w:r>
            <w:proofErr w:type="spellStart"/>
            <w:r w:rsidRPr="00647307">
              <w:rPr>
                <w:rFonts w:eastAsia="Times New Roman"/>
                <w:color w:val="000000"/>
                <w:sz w:val="22"/>
                <w:szCs w:val="16"/>
                <w:lang w:eastAsia="ru-RU"/>
              </w:rPr>
              <w:t>ротавирусы</w:t>
            </w:r>
            <w:proofErr w:type="spellEnd"/>
            <w:r w:rsidRPr="00647307">
              <w:rPr>
                <w:rFonts w:eastAsia="Times New Roman"/>
                <w:color w:val="000000"/>
                <w:sz w:val="22"/>
                <w:szCs w:val="16"/>
                <w:lang w:eastAsia="ru-RU"/>
              </w:rPr>
              <w:t xml:space="preserve">, вирус полиомиелита, вирусы </w:t>
            </w:r>
            <w:proofErr w:type="spellStart"/>
            <w:r w:rsidRPr="00647307">
              <w:rPr>
                <w:rFonts w:eastAsia="Times New Roman"/>
                <w:color w:val="000000"/>
                <w:sz w:val="22"/>
                <w:szCs w:val="16"/>
                <w:lang w:eastAsia="ru-RU"/>
              </w:rPr>
              <w:t>энтеральных</w:t>
            </w:r>
            <w:proofErr w:type="spellEnd"/>
            <w:r w:rsidRPr="00647307">
              <w:rPr>
                <w:rFonts w:eastAsia="Times New Roman"/>
                <w:color w:val="000000"/>
                <w:sz w:val="22"/>
                <w:szCs w:val="16"/>
                <w:lang w:eastAsia="ru-RU"/>
              </w:rPr>
              <w:t xml:space="preserve">, парентеральных гепатитов, герпеса, атипичной </w:t>
            </w:r>
            <w:r w:rsidRPr="00647307">
              <w:rPr>
                <w:rFonts w:eastAsia="Times New Roman"/>
                <w:color w:val="000000"/>
                <w:sz w:val="22"/>
                <w:szCs w:val="16"/>
                <w:lang w:eastAsia="ru-RU"/>
              </w:rPr>
              <w:lastRenderedPageBreak/>
              <w:t xml:space="preserve">пневмонии, птичьего гриппа, свиного гриппа, ВИЧ и др.), грибов рода </w:t>
            </w:r>
            <w:proofErr w:type="spellStart"/>
            <w:r w:rsidRPr="00647307">
              <w:rPr>
                <w:rFonts w:eastAsia="Times New Roman"/>
                <w:color w:val="000000"/>
                <w:sz w:val="22"/>
                <w:szCs w:val="16"/>
                <w:lang w:eastAsia="ru-RU"/>
              </w:rPr>
              <w:t>Кандида</w:t>
            </w:r>
            <w:proofErr w:type="spellEnd"/>
            <w:r w:rsidRPr="00647307">
              <w:rPr>
                <w:rFonts w:eastAsia="Times New Roman"/>
                <w:color w:val="000000"/>
                <w:sz w:val="22"/>
                <w:szCs w:val="16"/>
                <w:lang w:eastAsia="ru-RU"/>
              </w:rPr>
              <w:t xml:space="preserve"> и Трихофитон, плесеней. Обладает моющими и дезодорирующими свойствами.</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Состав:</w:t>
            </w:r>
            <w:r w:rsidRPr="00647307">
              <w:rPr>
                <w:rFonts w:eastAsia="Times New Roman"/>
                <w:color w:val="000000"/>
                <w:sz w:val="22"/>
                <w:szCs w:val="16"/>
                <w:lang w:eastAsia="ru-RU"/>
              </w:rPr>
              <w:t xml:space="preserve"> комплекс </w:t>
            </w:r>
            <w:proofErr w:type="spellStart"/>
            <w:r w:rsidRPr="00647307">
              <w:rPr>
                <w:rFonts w:eastAsia="Times New Roman"/>
                <w:color w:val="000000"/>
                <w:sz w:val="22"/>
                <w:szCs w:val="16"/>
                <w:lang w:eastAsia="ru-RU"/>
              </w:rPr>
              <w:t>четвертично</w:t>
            </w:r>
            <w:proofErr w:type="spellEnd"/>
            <w:r w:rsidRPr="00647307">
              <w:rPr>
                <w:rFonts w:eastAsia="Times New Roman"/>
                <w:color w:val="000000"/>
                <w:sz w:val="22"/>
                <w:szCs w:val="16"/>
                <w:lang w:eastAsia="ru-RU"/>
              </w:rPr>
              <w:t xml:space="preserve">-аммониевых соединений - </w:t>
            </w:r>
            <w:proofErr w:type="spellStart"/>
            <w:r w:rsidRPr="00647307">
              <w:rPr>
                <w:rFonts w:eastAsia="Times New Roman"/>
                <w:color w:val="000000"/>
                <w:sz w:val="22"/>
                <w:szCs w:val="16"/>
                <w:lang w:eastAsia="ru-RU"/>
              </w:rPr>
              <w:t>алкилдиметилбензиламмоний</w:t>
            </w:r>
            <w:proofErr w:type="spellEnd"/>
            <w:r w:rsidRPr="00647307">
              <w:rPr>
                <w:rFonts w:eastAsia="Times New Roman"/>
                <w:color w:val="000000"/>
                <w:sz w:val="22"/>
                <w:szCs w:val="16"/>
                <w:lang w:eastAsia="ru-RU"/>
              </w:rPr>
              <w:t xml:space="preserve"> хлорид, </w:t>
            </w:r>
            <w:proofErr w:type="spellStart"/>
            <w:r w:rsidRPr="00647307">
              <w:rPr>
                <w:rFonts w:eastAsia="Times New Roman"/>
                <w:color w:val="000000"/>
                <w:sz w:val="22"/>
                <w:szCs w:val="16"/>
                <w:lang w:eastAsia="ru-RU"/>
              </w:rPr>
              <w:t>дидецилдиметиламмоний</w:t>
            </w:r>
            <w:proofErr w:type="spellEnd"/>
            <w:r w:rsidRPr="00647307">
              <w:rPr>
                <w:rFonts w:eastAsia="Times New Roman"/>
                <w:color w:val="000000"/>
                <w:sz w:val="22"/>
                <w:szCs w:val="16"/>
                <w:lang w:eastAsia="ru-RU"/>
              </w:rPr>
              <w:t xml:space="preserve"> хлорид, функциональные добавки.</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Безопасность:</w:t>
            </w:r>
            <w:r w:rsidRPr="00647307">
              <w:rPr>
                <w:rFonts w:eastAsia="Times New Roman"/>
                <w:color w:val="000000"/>
                <w:sz w:val="22"/>
                <w:szCs w:val="16"/>
                <w:lang w:eastAsia="ru-RU"/>
              </w:rPr>
              <w:t> по параметрам острой токсичности относится к 4 классу малоопасных веществ по</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color w:val="000000"/>
                <w:sz w:val="22"/>
                <w:szCs w:val="16"/>
                <w:lang w:eastAsia="ru-RU"/>
              </w:rPr>
              <w:t>ГОСТ 12.1.007-76, к 5 классу практически нетоксичных веществ при введении в брюшную полость. Не оказывает кожно-резорбтивного и сенсибилизирующего действия, в виде концентрата обладает слабым местно-раздражающим действием на кожу и слизистые оболочки глаз.</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Способ применения:</w:t>
            </w:r>
            <w:r w:rsidRPr="00647307">
              <w:rPr>
                <w:rFonts w:eastAsia="Times New Roman"/>
                <w:color w:val="000000"/>
                <w:sz w:val="22"/>
                <w:szCs w:val="16"/>
                <w:lang w:eastAsia="ru-RU"/>
              </w:rPr>
              <w:t> протирание, замачивание, погружение и орошение. Обеззараживание можно проводить в присутствии людей. Концентрация рабочих растворов от 0,05 до 25,0 %.</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Форма выпуска:</w:t>
            </w:r>
            <w:r w:rsidRPr="00647307">
              <w:rPr>
                <w:rFonts w:eastAsia="Times New Roman"/>
                <w:color w:val="000000"/>
                <w:sz w:val="22"/>
                <w:szCs w:val="16"/>
                <w:lang w:eastAsia="ru-RU"/>
              </w:rPr>
              <w:t> канистра 5 литров.</w:t>
            </w:r>
          </w:p>
          <w:p w:rsidR="00C23E97" w:rsidRPr="00647307" w:rsidRDefault="00C23E97" w:rsidP="00C23E97">
            <w:pPr>
              <w:spacing w:before="0"/>
              <w:jc w:val="left"/>
              <w:rPr>
                <w:rFonts w:eastAsia="Times New Roman"/>
                <w:color w:val="000000"/>
                <w:sz w:val="22"/>
                <w:szCs w:val="16"/>
                <w:lang w:eastAsia="ru-RU"/>
              </w:rPr>
            </w:pPr>
            <w:r w:rsidRPr="00647307">
              <w:rPr>
                <w:rFonts w:eastAsia="Times New Roman"/>
                <w:b/>
                <w:bCs/>
                <w:color w:val="000000"/>
                <w:sz w:val="22"/>
                <w:szCs w:val="16"/>
                <w:lang w:eastAsia="ru-RU"/>
              </w:rPr>
              <w:t>Срок годности:</w:t>
            </w:r>
            <w:r w:rsidRPr="00647307">
              <w:rPr>
                <w:rFonts w:eastAsia="Times New Roman"/>
                <w:color w:val="000000"/>
                <w:sz w:val="22"/>
                <w:szCs w:val="16"/>
                <w:lang w:eastAsia="ru-RU"/>
              </w:rPr>
              <w:t> 5 лет в заводской упаковке, рабочих растворов средства - 14 суток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23E97" w:rsidRPr="00647307" w:rsidRDefault="00C23E97" w:rsidP="00C23E97">
            <w:pPr>
              <w:spacing w:before="0"/>
              <w:jc w:val="right"/>
              <w:rPr>
                <w:rFonts w:eastAsia="Times New Roman"/>
                <w:color w:val="000000"/>
                <w:sz w:val="22"/>
                <w:szCs w:val="22"/>
                <w:lang w:eastAsia="ru-RU"/>
              </w:rPr>
            </w:pPr>
            <w:r w:rsidRPr="00647307">
              <w:rPr>
                <w:rFonts w:eastAsia="Times New Roman"/>
                <w:color w:val="000000"/>
                <w:sz w:val="22"/>
                <w:szCs w:val="22"/>
                <w:lang w:eastAsia="ru-RU"/>
              </w:rPr>
              <w:lastRenderedPageBreak/>
              <w:t>300</w:t>
            </w:r>
          </w:p>
        </w:tc>
      </w:tr>
    </w:tbl>
    <w:p w:rsidR="00C23E97" w:rsidRDefault="00C23E97" w:rsidP="0082656E">
      <w:pPr>
        <w:spacing w:before="0"/>
        <w:jc w:val="center"/>
        <w:rPr>
          <w:rFonts w:eastAsia="Times New Roman"/>
          <w:b/>
          <w:sz w:val="24"/>
          <w:szCs w:val="24"/>
          <w:lang w:eastAsia="ru-RU"/>
        </w:rPr>
      </w:pPr>
    </w:p>
    <w:p w:rsidR="0096532F" w:rsidRDefault="0096532F" w:rsidP="00EF70FD"/>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C23E97" w:rsidRDefault="00C23E97" w:rsidP="00FC2B06">
      <w:pPr>
        <w:spacing w:line="276" w:lineRule="auto"/>
        <w:contextualSpacing/>
        <w:jc w:val="center"/>
        <w:rPr>
          <w:b/>
          <w:sz w:val="24"/>
          <w:szCs w:val="24"/>
        </w:rPr>
        <w:sectPr w:rsidR="00C23E97" w:rsidSect="00C23E97">
          <w:pgSz w:w="16838" w:h="11906" w:orient="landscape"/>
          <w:pgMar w:top="1134" w:right="1134" w:bottom="567" w:left="1134" w:header="709" w:footer="709" w:gutter="0"/>
          <w:cols w:space="708"/>
          <w:docGrid w:linePitch="360"/>
        </w:sectPr>
      </w:pPr>
    </w:p>
    <w:p w:rsidR="00FC2B06" w:rsidRPr="00533FC7" w:rsidRDefault="00FC2B06" w:rsidP="00FC2B06">
      <w:pPr>
        <w:spacing w:line="276" w:lineRule="auto"/>
        <w:contextualSpacing/>
        <w:jc w:val="center"/>
        <w:rPr>
          <w:b/>
          <w:sz w:val="24"/>
          <w:szCs w:val="24"/>
        </w:rPr>
      </w:pPr>
    </w:p>
    <w:p w:rsidR="00D52DDB" w:rsidRDefault="000C5172" w:rsidP="00CE07CB">
      <w:pPr>
        <w:keepNext/>
        <w:spacing w:before="240"/>
        <w:outlineLvl w:val="2"/>
        <w:rPr>
          <w:b/>
        </w:rPr>
      </w:pPr>
      <w:bookmarkStart w:id="332" w:name="_Toc67580156"/>
      <w:r>
        <w:rPr>
          <w:b/>
        </w:rPr>
        <w:t>ПРИЛОЖЕНИЕ </w:t>
      </w:r>
      <w:r w:rsidR="005D4845">
        <w:rPr>
          <w:b/>
        </w:rPr>
        <w:t>2</w:t>
      </w:r>
      <w:r w:rsidR="0026500B" w:rsidRPr="0053364D">
        <w:rPr>
          <w:b/>
        </w:rPr>
        <w:t>:</w:t>
      </w:r>
      <w:bookmarkStart w:id="333" w:name="_Toc67580157"/>
      <w:bookmarkEnd w:id="332"/>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3"/>
    </w:p>
    <w:tbl>
      <w:tblPr>
        <w:tblW w:w="10304" w:type="dxa"/>
        <w:tblInd w:w="-147" w:type="dxa"/>
        <w:tblLook w:val="04A0" w:firstRow="1" w:lastRow="0" w:firstColumn="1" w:lastColumn="0" w:noHBand="0" w:noVBand="1"/>
      </w:tblPr>
      <w:tblGrid>
        <w:gridCol w:w="560"/>
        <w:gridCol w:w="3291"/>
        <w:gridCol w:w="1226"/>
        <w:gridCol w:w="1067"/>
        <w:gridCol w:w="960"/>
        <w:gridCol w:w="1600"/>
        <w:gridCol w:w="1600"/>
      </w:tblGrid>
      <w:tr w:rsidR="00C23E97" w:rsidRPr="00231029" w:rsidTr="00C23E97">
        <w:trPr>
          <w:trHeight w:val="85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Наименование</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Фасовка</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proofErr w:type="spellStart"/>
            <w:r w:rsidRPr="00231029">
              <w:rPr>
                <w:rFonts w:eastAsia="Times New Roman"/>
                <w:b/>
                <w:bCs/>
                <w:color w:val="000000"/>
                <w:sz w:val="22"/>
                <w:szCs w:val="22"/>
                <w:lang w:eastAsia="ru-RU"/>
              </w:rPr>
              <w:t>Ед.изм</w:t>
            </w:r>
            <w:proofErr w:type="spellEnd"/>
            <w:r w:rsidRPr="00231029">
              <w:rPr>
                <w:rFonts w:eastAsia="Times New Roman"/>
                <w:b/>
                <w:bCs/>
                <w:color w:val="000000"/>
                <w:sz w:val="22"/>
                <w:szCs w:val="22"/>
                <w:lang w:eastAsia="ru-RU"/>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Кол-во</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sz w:val="22"/>
                <w:szCs w:val="22"/>
                <w:lang w:eastAsia="ru-RU"/>
              </w:rPr>
            </w:pPr>
            <w:r w:rsidRPr="00231029">
              <w:rPr>
                <w:rFonts w:eastAsia="Times New Roman"/>
                <w:b/>
                <w:bCs/>
                <w:sz w:val="22"/>
                <w:szCs w:val="22"/>
                <w:lang w:eastAsia="ru-RU"/>
              </w:rPr>
              <w:t>Цена за единицу (с НДС) (руб.)</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sz w:val="22"/>
                <w:szCs w:val="22"/>
                <w:lang w:eastAsia="ru-RU"/>
              </w:rPr>
            </w:pPr>
            <w:r>
              <w:rPr>
                <w:rFonts w:eastAsia="Times New Roman"/>
                <w:b/>
                <w:bCs/>
                <w:sz w:val="22"/>
                <w:szCs w:val="22"/>
                <w:lang w:eastAsia="ru-RU"/>
              </w:rPr>
              <w:t>Стоимость по рыночным ценам</w:t>
            </w:r>
            <w:r w:rsidRPr="00231029">
              <w:rPr>
                <w:rFonts w:eastAsia="Times New Roman"/>
                <w:b/>
                <w:bCs/>
                <w:sz w:val="22"/>
                <w:szCs w:val="22"/>
                <w:lang w:eastAsia="ru-RU"/>
              </w:rPr>
              <w:t>, (</w:t>
            </w:r>
            <w:proofErr w:type="spellStart"/>
            <w:r w:rsidRPr="00231029">
              <w:rPr>
                <w:rFonts w:eastAsia="Times New Roman"/>
                <w:b/>
                <w:bCs/>
                <w:sz w:val="22"/>
                <w:szCs w:val="22"/>
                <w:lang w:eastAsia="ru-RU"/>
              </w:rPr>
              <w:t>руб</w:t>
            </w:r>
            <w:proofErr w:type="spellEnd"/>
            <w:r w:rsidRPr="00231029">
              <w:rPr>
                <w:rFonts w:eastAsia="Times New Roman"/>
                <w:b/>
                <w:bCs/>
                <w:sz w:val="22"/>
                <w:szCs w:val="22"/>
                <w:lang w:eastAsia="ru-RU"/>
              </w:rPr>
              <w:t xml:space="preserve">) </w:t>
            </w:r>
          </w:p>
        </w:tc>
      </w:tr>
      <w:tr w:rsidR="00C23E97" w:rsidRPr="00231029" w:rsidTr="00C23E97">
        <w:trPr>
          <w:trHeight w:val="285"/>
        </w:trPr>
        <w:tc>
          <w:tcPr>
            <w:tcW w:w="560" w:type="dxa"/>
            <w:tcBorders>
              <w:top w:val="nil"/>
              <w:left w:val="single" w:sz="4" w:space="0" w:color="auto"/>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1</w:t>
            </w:r>
          </w:p>
        </w:tc>
        <w:tc>
          <w:tcPr>
            <w:tcW w:w="3291" w:type="dxa"/>
            <w:tcBorders>
              <w:top w:val="nil"/>
              <w:left w:val="nil"/>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2</w:t>
            </w:r>
          </w:p>
        </w:tc>
        <w:tc>
          <w:tcPr>
            <w:tcW w:w="1226" w:type="dxa"/>
            <w:tcBorders>
              <w:top w:val="nil"/>
              <w:left w:val="nil"/>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3</w:t>
            </w:r>
          </w:p>
        </w:tc>
        <w:tc>
          <w:tcPr>
            <w:tcW w:w="1067" w:type="dxa"/>
            <w:tcBorders>
              <w:top w:val="nil"/>
              <w:left w:val="nil"/>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4</w:t>
            </w:r>
          </w:p>
        </w:tc>
        <w:tc>
          <w:tcPr>
            <w:tcW w:w="960" w:type="dxa"/>
            <w:tcBorders>
              <w:top w:val="nil"/>
              <w:left w:val="nil"/>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5</w:t>
            </w:r>
          </w:p>
        </w:tc>
        <w:tc>
          <w:tcPr>
            <w:tcW w:w="1600" w:type="dxa"/>
            <w:tcBorders>
              <w:top w:val="nil"/>
              <w:left w:val="nil"/>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sz w:val="22"/>
                <w:szCs w:val="22"/>
                <w:lang w:eastAsia="ru-RU"/>
              </w:rPr>
            </w:pPr>
            <w:r w:rsidRPr="00231029">
              <w:rPr>
                <w:rFonts w:eastAsia="Times New Roman"/>
                <w:b/>
                <w:bCs/>
                <w:sz w:val="22"/>
                <w:szCs w:val="22"/>
                <w:lang w:eastAsia="ru-RU"/>
              </w:rPr>
              <w:t>6</w:t>
            </w:r>
          </w:p>
        </w:tc>
        <w:tc>
          <w:tcPr>
            <w:tcW w:w="1600" w:type="dxa"/>
            <w:tcBorders>
              <w:top w:val="nil"/>
              <w:left w:val="nil"/>
              <w:bottom w:val="nil"/>
              <w:right w:val="single" w:sz="4" w:space="0" w:color="auto"/>
            </w:tcBorders>
            <w:shd w:val="clear" w:color="auto" w:fill="auto"/>
            <w:vAlign w:val="center"/>
            <w:hideMark/>
          </w:tcPr>
          <w:p w:rsidR="00C23E97" w:rsidRPr="00231029" w:rsidRDefault="00C23E97" w:rsidP="00C23E97">
            <w:pPr>
              <w:spacing w:before="0"/>
              <w:jc w:val="center"/>
              <w:rPr>
                <w:rFonts w:eastAsia="Times New Roman"/>
                <w:b/>
                <w:bCs/>
                <w:sz w:val="22"/>
                <w:szCs w:val="22"/>
                <w:lang w:eastAsia="ru-RU"/>
              </w:rPr>
            </w:pPr>
            <w:r w:rsidRPr="00231029">
              <w:rPr>
                <w:rFonts w:eastAsia="Times New Roman"/>
                <w:b/>
                <w:bCs/>
                <w:sz w:val="22"/>
                <w:szCs w:val="22"/>
                <w:lang w:eastAsia="ru-RU"/>
              </w:rPr>
              <w:t>7</w:t>
            </w:r>
          </w:p>
        </w:tc>
      </w:tr>
      <w:tr w:rsidR="00C23E97" w:rsidRPr="00231029" w:rsidTr="00C23E9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sidRPr="00231029">
              <w:rPr>
                <w:rFonts w:eastAsia="Times New Roman"/>
                <w:color w:val="000000"/>
                <w:sz w:val="22"/>
                <w:szCs w:val="22"/>
                <w:lang w:eastAsia="ru-RU"/>
              </w:rPr>
              <w:t>1</w:t>
            </w:r>
          </w:p>
        </w:tc>
        <w:tc>
          <w:tcPr>
            <w:tcW w:w="3291"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4"/>
                <w:szCs w:val="24"/>
                <w:lang w:eastAsia="ru-RU"/>
              </w:rPr>
            </w:pPr>
            <w:r w:rsidRPr="00647307">
              <w:rPr>
                <w:rFonts w:eastAsia="Times New Roman"/>
                <w:color w:val="000000"/>
                <w:sz w:val="22"/>
                <w:szCs w:val="18"/>
                <w:lang w:eastAsia="ru-RU"/>
              </w:rPr>
              <w:t>ДЕЗАВИД+</w:t>
            </w:r>
          </w:p>
        </w:tc>
        <w:tc>
          <w:tcPr>
            <w:tcW w:w="1226"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4"/>
                <w:szCs w:val="24"/>
                <w:lang w:eastAsia="ru-RU"/>
              </w:rPr>
            </w:pPr>
            <w:r w:rsidRPr="00231029">
              <w:rPr>
                <w:rFonts w:eastAsia="Times New Roman"/>
                <w:color w:val="000000"/>
                <w:sz w:val="24"/>
                <w:szCs w:val="24"/>
                <w:lang w:eastAsia="ru-RU"/>
              </w:rPr>
              <w:t>1л</w:t>
            </w:r>
          </w:p>
        </w:tc>
        <w:tc>
          <w:tcPr>
            <w:tcW w:w="1067" w:type="dxa"/>
            <w:tcBorders>
              <w:top w:val="single" w:sz="4" w:space="0" w:color="auto"/>
              <w:left w:val="nil"/>
              <w:bottom w:val="nil"/>
              <w:right w:val="single" w:sz="4" w:space="0" w:color="auto"/>
            </w:tcBorders>
            <w:shd w:val="clear" w:color="auto" w:fill="auto"/>
            <w:vAlign w:val="center"/>
            <w:hideMark/>
          </w:tcPr>
          <w:p w:rsidR="00C23E97" w:rsidRPr="00231029" w:rsidRDefault="00293927" w:rsidP="00C23E97">
            <w:pPr>
              <w:spacing w:before="0"/>
              <w:jc w:val="left"/>
              <w:rPr>
                <w:rFonts w:eastAsia="Times New Roman"/>
                <w:color w:val="000000"/>
                <w:sz w:val="22"/>
                <w:szCs w:val="22"/>
                <w:lang w:eastAsia="ru-RU"/>
              </w:rPr>
            </w:pPr>
            <w:proofErr w:type="spellStart"/>
            <w:r>
              <w:rPr>
                <w:rFonts w:eastAsia="Times New Roman"/>
                <w:color w:val="000000"/>
                <w:sz w:val="22"/>
                <w:szCs w:val="22"/>
                <w:lang w:eastAsia="ru-RU"/>
              </w:rPr>
              <w:t>шт</w:t>
            </w:r>
            <w:proofErr w:type="spellEnd"/>
          </w:p>
        </w:tc>
        <w:tc>
          <w:tcPr>
            <w:tcW w:w="960" w:type="dxa"/>
            <w:tcBorders>
              <w:top w:val="single" w:sz="4" w:space="0" w:color="auto"/>
              <w:left w:val="nil"/>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sidRPr="00231029">
              <w:rPr>
                <w:rFonts w:eastAsia="Times New Roman"/>
                <w:color w:val="000000"/>
                <w:sz w:val="22"/>
                <w:szCs w:val="22"/>
                <w:lang w:eastAsia="ru-RU"/>
              </w:rPr>
              <w:t>216</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633,00</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136 728,00</w:t>
            </w:r>
          </w:p>
        </w:tc>
      </w:tr>
      <w:tr w:rsidR="00C23E97" w:rsidRPr="00231029" w:rsidTr="00C23E9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sidRPr="00231029">
              <w:rPr>
                <w:rFonts w:eastAsia="Times New Roman"/>
                <w:color w:val="000000"/>
                <w:sz w:val="22"/>
                <w:szCs w:val="22"/>
                <w:lang w:eastAsia="ru-RU"/>
              </w:rPr>
              <w:t>2</w:t>
            </w:r>
          </w:p>
        </w:tc>
        <w:tc>
          <w:tcPr>
            <w:tcW w:w="3291"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2"/>
                <w:szCs w:val="22"/>
                <w:lang w:eastAsia="ru-RU"/>
              </w:rPr>
            </w:pPr>
            <w:proofErr w:type="spellStart"/>
            <w:r w:rsidRPr="00231029">
              <w:rPr>
                <w:rFonts w:eastAsia="Times New Roman"/>
                <w:color w:val="000000"/>
                <w:sz w:val="22"/>
                <w:szCs w:val="22"/>
                <w:lang w:eastAsia="ru-RU"/>
              </w:rPr>
              <w:t>Акватабс</w:t>
            </w:r>
            <w:proofErr w:type="spellEnd"/>
            <w:r w:rsidRPr="00231029">
              <w:rPr>
                <w:rFonts w:eastAsia="Times New Roman"/>
                <w:color w:val="000000"/>
                <w:sz w:val="22"/>
                <w:szCs w:val="22"/>
                <w:lang w:eastAsia="ru-RU"/>
              </w:rPr>
              <w:t xml:space="preserve"> </w:t>
            </w:r>
          </w:p>
        </w:tc>
        <w:tc>
          <w:tcPr>
            <w:tcW w:w="1226"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4"/>
                <w:szCs w:val="24"/>
                <w:lang w:eastAsia="ru-RU"/>
              </w:rPr>
            </w:pPr>
            <w:r w:rsidRPr="00231029">
              <w:rPr>
                <w:rFonts w:eastAsia="Times New Roman"/>
                <w:color w:val="000000"/>
                <w:sz w:val="24"/>
                <w:szCs w:val="24"/>
                <w:lang w:eastAsia="ru-RU"/>
              </w:rPr>
              <w:t xml:space="preserve">60 </w:t>
            </w:r>
            <w:proofErr w:type="spellStart"/>
            <w:r w:rsidRPr="00231029">
              <w:rPr>
                <w:rFonts w:eastAsia="Times New Roman"/>
                <w:color w:val="000000"/>
                <w:sz w:val="24"/>
                <w:szCs w:val="24"/>
                <w:lang w:eastAsia="ru-RU"/>
              </w:rPr>
              <w:t>таб</w:t>
            </w:r>
            <w:proofErr w:type="spellEnd"/>
          </w:p>
        </w:tc>
        <w:tc>
          <w:tcPr>
            <w:tcW w:w="1067"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2"/>
                <w:szCs w:val="22"/>
                <w:lang w:eastAsia="ru-RU"/>
              </w:rPr>
            </w:pPr>
            <w:r w:rsidRPr="00231029">
              <w:rPr>
                <w:rFonts w:eastAsia="Times New Roman"/>
                <w:color w:val="000000"/>
                <w:sz w:val="22"/>
                <w:szCs w:val="22"/>
                <w:lang w:eastAsia="ru-RU"/>
              </w:rPr>
              <w:t>упаковка</w:t>
            </w:r>
          </w:p>
        </w:tc>
        <w:tc>
          <w:tcPr>
            <w:tcW w:w="960" w:type="dxa"/>
            <w:tcBorders>
              <w:top w:val="single" w:sz="4" w:space="0" w:color="auto"/>
              <w:left w:val="nil"/>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Pr>
                <w:rFonts w:eastAsia="Times New Roman"/>
                <w:color w:val="000000"/>
                <w:sz w:val="22"/>
                <w:szCs w:val="22"/>
                <w:lang w:eastAsia="ru-RU"/>
              </w:rPr>
              <w:t>13</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4 322,00</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56 186,00</w:t>
            </w:r>
          </w:p>
        </w:tc>
      </w:tr>
      <w:tr w:rsidR="00C23E97" w:rsidRPr="00231029" w:rsidTr="00C23E9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sidRPr="00231029">
              <w:rPr>
                <w:rFonts w:eastAsia="Times New Roman"/>
                <w:color w:val="000000"/>
                <w:sz w:val="22"/>
                <w:szCs w:val="22"/>
                <w:lang w:eastAsia="ru-RU"/>
              </w:rPr>
              <w:t>3</w:t>
            </w:r>
          </w:p>
        </w:tc>
        <w:tc>
          <w:tcPr>
            <w:tcW w:w="3291"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2"/>
                <w:szCs w:val="22"/>
                <w:lang w:eastAsia="ru-RU"/>
              </w:rPr>
            </w:pPr>
            <w:proofErr w:type="spellStart"/>
            <w:r w:rsidRPr="00231029">
              <w:rPr>
                <w:rFonts w:eastAsia="Times New Roman"/>
                <w:color w:val="000000"/>
                <w:sz w:val="22"/>
                <w:szCs w:val="22"/>
                <w:lang w:eastAsia="ru-RU"/>
              </w:rPr>
              <w:t>Дез</w:t>
            </w:r>
            <w:proofErr w:type="spellEnd"/>
            <w:r w:rsidRPr="00231029">
              <w:rPr>
                <w:rFonts w:eastAsia="Times New Roman"/>
                <w:color w:val="000000"/>
                <w:sz w:val="22"/>
                <w:szCs w:val="22"/>
                <w:lang w:eastAsia="ru-RU"/>
              </w:rPr>
              <w:t>-хлор/</w:t>
            </w:r>
            <w:proofErr w:type="spellStart"/>
            <w:r w:rsidRPr="00231029">
              <w:rPr>
                <w:rFonts w:eastAsia="Times New Roman"/>
                <w:color w:val="000000"/>
                <w:sz w:val="22"/>
                <w:szCs w:val="22"/>
                <w:lang w:eastAsia="ru-RU"/>
              </w:rPr>
              <w:t>Ди</w:t>
            </w:r>
            <w:proofErr w:type="spellEnd"/>
            <w:r w:rsidRPr="00231029">
              <w:rPr>
                <w:rFonts w:eastAsia="Times New Roman"/>
                <w:color w:val="000000"/>
                <w:sz w:val="22"/>
                <w:szCs w:val="22"/>
                <w:lang w:eastAsia="ru-RU"/>
              </w:rPr>
              <w:t>-Хлор. Дезинфицирующее средство в виде таблеток</w:t>
            </w:r>
          </w:p>
        </w:tc>
        <w:tc>
          <w:tcPr>
            <w:tcW w:w="1226"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4"/>
                <w:szCs w:val="24"/>
                <w:lang w:eastAsia="ru-RU"/>
              </w:rPr>
            </w:pPr>
            <w:r w:rsidRPr="00231029">
              <w:rPr>
                <w:rFonts w:eastAsia="Times New Roman"/>
                <w:color w:val="000000"/>
                <w:sz w:val="24"/>
                <w:szCs w:val="24"/>
                <w:lang w:eastAsia="ru-RU"/>
              </w:rPr>
              <w:t xml:space="preserve">300 </w:t>
            </w:r>
            <w:proofErr w:type="spellStart"/>
            <w:r w:rsidRPr="00231029">
              <w:rPr>
                <w:rFonts w:eastAsia="Times New Roman"/>
                <w:color w:val="000000"/>
                <w:sz w:val="24"/>
                <w:szCs w:val="24"/>
                <w:lang w:eastAsia="ru-RU"/>
              </w:rPr>
              <w:t>таб</w:t>
            </w:r>
            <w:proofErr w:type="spellEnd"/>
          </w:p>
        </w:tc>
        <w:tc>
          <w:tcPr>
            <w:tcW w:w="1067"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2"/>
                <w:szCs w:val="22"/>
                <w:lang w:eastAsia="ru-RU"/>
              </w:rPr>
            </w:pPr>
            <w:r w:rsidRPr="00231029">
              <w:rPr>
                <w:rFonts w:eastAsia="Times New Roman"/>
                <w:color w:val="000000"/>
                <w:sz w:val="22"/>
                <w:szCs w:val="22"/>
                <w:lang w:eastAsia="ru-RU"/>
              </w:rPr>
              <w:t>упаковка</w:t>
            </w:r>
          </w:p>
        </w:tc>
        <w:tc>
          <w:tcPr>
            <w:tcW w:w="960" w:type="dxa"/>
            <w:tcBorders>
              <w:top w:val="single" w:sz="4" w:space="0" w:color="auto"/>
              <w:left w:val="nil"/>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sidRPr="00231029">
              <w:rPr>
                <w:rFonts w:eastAsia="Times New Roman"/>
                <w:color w:val="000000"/>
                <w:sz w:val="22"/>
                <w:szCs w:val="22"/>
                <w:lang w:eastAsia="ru-RU"/>
              </w:rPr>
              <w:t>216</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364,00</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78 624,00</w:t>
            </w:r>
          </w:p>
        </w:tc>
      </w:tr>
      <w:tr w:rsidR="00C23E97" w:rsidRPr="00231029" w:rsidTr="00C23E97">
        <w:trPr>
          <w:trHeight w:val="300"/>
        </w:trPr>
        <w:tc>
          <w:tcPr>
            <w:tcW w:w="560" w:type="dxa"/>
            <w:tcBorders>
              <w:top w:val="single" w:sz="4" w:space="0" w:color="auto"/>
              <w:left w:val="single" w:sz="4" w:space="0" w:color="auto"/>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sidRPr="00231029">
              <w:rPr>
                <w:rFonts w:eastAsia="Times New Roman"/>
                <w:color w:val="000000"/>
                <w:sz w:val="22"/>
                <w:szCs w:val="22"/>
                <w:lang w:eastAsia="ru-RU"/>
              </w:rPr>
              <w:t>4</w:t>
            </w:r>
          </w:p>
        </w:tc>
        <w:tc>
          <w:tcPr>
            <w:tcW w:w="3291"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4"/>
                <w:szCs w:val="24"/>
                <w:lang w:eastAsia="ru-RU"/>
              </w:rPr>
            </w:pPr>
            <w:proofErr w:type="spellStart"/>
            <w:r w:rsidRPr="00231029">
              <w:rPr>
                <w:rFonts w:eastAsia="Times New Roman"/>
                <w:color w:val="000000"/>
                <w:sz w:val="24"/>
                <w:szCs w:val="24"/>
                <w:lang w:eastAsia="ru-RU"/>
              </w:rPr>
              <w:t>Диадез</w:t>
            </w:r>
            <w:proofErr w:type="spellEnd"/>
          </w:p>
        </w:tc>
        <w:tc>
          <w:tcPr>
            <w:tcW w:w="1226"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left"/>
              <w:rPr>
                <w:rFonts w:eastAsia="Times New Roman"/>
                <w:color w:val="000000"/>
                <w:sz w:val="24"/>
                <w:szCs w:val="24"/>
                <w:lang w:eastAsia="ru-RU"/>
              </w:rPr>
            </w:pPr>
            <w:r w:rsidRPr="00231029">
              <w:rPr>
                <w:rFonts w:eastAsia="Times New Roman"/>
                <w:color w:val="000000"/>
                <w:sz w:val="24"/>
                <w:szCs w:val="24"/>
                <w:lang w:eastAsia="ru-RU"/>
              </w:rPr>
              <w:t>5л</w:t>
            </w:r>
          </w:p>
        </w:tc>
        <w:tc>
          <w:tcPr>
            <w:tcW w:w="1067" w:type="dxa"/>
            <w:tcBorders>
              <w:top w:val="single" w:sz="4" w:space="0" w:color="auto"/>
              <w:left w:val="nil"/>
              <w:bottom w:val="nil"/>
              <w:right w:val="single" w:sz="4" w:space="0" w:color="auto"/>
            </w:tcBorders>
            <w:shd w:val="clear" w:color="auto" w:fill="auto"/>
            <w:noWrap/>
            <w:vAlign w:val="center"/>
            <w:hideMark/>
          </w:tcPr>
          <w:p w:rsidR="00C23E97" w:rsidRPr="00231029" w:rsidRDefault="00293927" w:rsidP="00C23E97">
            <w:pPr>
              <w:spacing w:before="0"/>
              <w:jc w:val="left"/>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60" w:type="dxa"/>
            <w:tcBorders>
              <w:top w:val="single" w:sz="4" w:space="0" w:color="auto"/>
              <w:left w:val="nil"/>
              <w:bottom w:val="nil"/>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color w:val="000000"/>
                <w:sz w:val="22"/>
                <w:szCs w:val="22"/>
                <w:lang w:eastAsia="ru-RU"/>
              </w:rPr>
            </w:pPr>
            <w:r>
              <w:rPr>
                <w:rFonts w:eastAsia="Times New Roman"/>
                <w:color w:val="000000"/>
                <w:sz w:val="22"/>
                <w:szCs w:val="22"/>
                <w:lang w:eastAsia="ru-RU"/>
              </w:rPr>
              <w:t>2</w:t>
            </w:r>
            <w:r w:rsidRPr="00231029">
              <w:rPr>
                <w:rFonts w:eastAsia="Times New Roman"/>
                <w:color w:val="000000"/>
                <w:sz w:val="22"/>
                <w:szCs w:val="22"/>
                <w:lang w:eastAsia="ru-RU"/>
              </w:rPr>
              <w:t>00</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1 915,00</w:t>
            </w:r>
          </w:p>
        </w:tc>
        <w:tc>
          <w:tcPr>
            <w:tcW w:w="1600" w:type="dxa"/>
            <w:tcBorders>
              <w:top w:val="single" w:sz="4" w:space="0" w:color="auto"/>
              <w:left w:val="nil"/>
              <w:bottom w:val="nil"/>
              <w:right w:val="single" w:sz="4" w:space="0" w:color="auto"/>
            </w:tcBorders>
            <w:shd w:val="clear" w:color="auto" w:fill="auto"/>
            <w:vAlign w:val="center"/>
            <w:hideMark/>
          </w:tcPr>
          <w:p w:rsidR="00C23E97" w:rsidRPr="00231029" w:rsidRDefault="00C23E97" w:rsidP="00C23E97">
            <w:pPr>
              <w:spacing w:before="0"/>
              <w:jc w:val="right"/>
              <w:rPr>
                <w:rFonts w:eastAsia="Times New Roman"/>
                <w:sz w:val="22"/>
                <w:szCs w:val="22"/>
                <w:lang w:eastAsia="ru-RU"/>
              </w:rPr>
            </w:pPr>
            <w:r>
              <w:rPr>
                <w:rFonts w:eastAsia="Times New Roman"/>
                <w:sz w:val="22"/>
                <w:szCs w:val="22"/>
                <w:lang w:eastAsia="ru-RU"/>
              </w:rPr>
              <w:t>383 000,00</w:t>
            </w:r>
          </w:p>
        </w:tc>
      </w:tr>
      <w:tr w:rsidR="00C23E97" w:rsidRPr="00231029" w:rsidTr="00C23E97">
        <w:trPr>
          <w:trHeight w:val="285"/>
        </w:trPr>
        <w:tc>
          <w:tcPr>
            <w:tcW w:w="710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3E97" w:rsidRPr="00231029" w:rsidRDefault="00C23E97" w:rsidP="007F0E9B">
            <w:pPr>
              <w:spacing w:before="0"/>
              <w:jc w:val="left"/>
              <w:rPr>
                <w:rFonts w:eastAsia="Times New Roman"/>
                <w:b/>
                <w:bCs/>
                <w:color w:val="000000"/>
                <w:sz w:val="22"/>
                <w:szCs w:val="22"/>
                <w:lang w:eastAsia="ru-RU"/>
              </w:rPr>
            </w:pPr>
            <w:r w:rsidRPr="00231029">
              <w:rPr>
                <w:rFonts w:eastAsia="Times New Roman"/>
                <w:b/>
                <w:bCs/>
                <w:color w:val="000000"/>
                <w:sz w:val="22"/>
                <w:szCs w:val="22"/>
                <w:lang w:eastAsia="ru-RU"/>
              </w:rPr>
              <w:t xml:space="preserve">Итого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C23E97" w:rsidRPr="00231029" w:rsidRDefault="00C23E97" w:rsidP="00C23E97">
            <w:pPr>
              <w:spacing w:before="0"/>
              <w:jc w:val="center"/>
              <w:rPr>
                <w:rFonts w:eastAsia="Times New Roman"/>
                <w:b/>
                <w:bCs/>
                <w:color w:val="000000"/>
                <w:sz w:val="22"/>
                <w:szCs w:val="22"/>
                <w:lang w:eastAsia="ru-RU"/>
              </w:rPr>
            </w:pPr>
            <w:r w:rsidRPr="00231029">
              <w:rPr>
                <w:rFonts w:eastAsia="Times New Roman"/>
                <w:b/>
                <w:bCs/>
                <w:color w:val="000000"/>
                <w:sz w:val="22"/>
                <w:szCs w:val="22"/>
                <w:lang w:eastAsia="ru-RU"/>
              </w:rPr>
              <w:t>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C23E97" w:rsidRPr="00231029" w:rsidRDefault="00C23E97" w:rsidP="00C23E97">
            <w:pPr>
              <w:spacing w:before="0"/>
              <w:jc w:val="right"/>
              <w:rPr>
                <w:rFonts w:eastAsia="Times New Roman"/>
                <w:b/>
                <w:bCs/>
                <w:color w:val="000000"/>
                <w:sz w:val="22"/>
                <w:szCs w:val="22"/>
                <w:lang w:eastAsia="ru-RU"/>
              </w:rPr>
            </w:pPr>
            <w:r>
              <w:rPr>
                <w:rFonts w:eastAsia="Times New Roman"/>
                <w:b/>
                <w:bCs/>
                <w:color w:val="000000"/>
                <w:sz w:val="22"/>
                <w:szCs w:val="22"/>
                <w:lang w:eastAsia="ru-RU"/>
              </w:rPr>
              <w:t>654 538,00</w:t>
            </w:r>
          </w:p>
        </w:tc>
      </w:tr>
      <w:tr w:rsidR="00C23E97" w:rsidRPr="00231029" w:rsidTr="00C23E97">
        <w:trPr>
          <w:trHeight w:val="285"/>
        </w:trPr>
        <w:tc>
          <w:tcPr>
            <w:tcW w:w="710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rsidR="00C23E97" w:rsidRPr="00231029" w:rsidRDefault="007F0E9B" w:rsidP="00C23E97">
            <w:pPr>
              <w:spacing w:before="0"/>
              <w:jc w:val="left"/>
              <w:rPr>
                <w:rFonts w:eastAsia="Times New Roman"/>
                <w:b/>
                <w:bCs/>
                <w:color w:val="000000"/>
                <w:sz w:val="22"/>
                <w:szCs w:val="22"/>
                <w:lang w:eastAsia="ru-RU"/>
              </w:rPr>
            </w:pPr>
            <w:r>
              <w:rPr>
                <w:rFonts w:eastAsia="Times New Roman"/>
                <w:b/>
                <w:bCs/>
                <w:color w:val="000000"/>
                <w:sz w:val="22"/>
                <w:szCs w:val="22"/>
                <w:lang w:eastAsia="ru-RU"/>
              </w:rPr>
              <w:t>В том числе НДС (20%)</w:t>
            </w:r>
            <w:bookmarkStart w:id="334" w:name="_GoBack"/>
            <w:bookmarkEnd w:id="334"/>
            <w:r>
              <w:rPr>
                <w:rFonts w:eastAsia="Times New Roman"/>
                <w:b/>
                <w:bCs/>
                <w:color w:val="000000"/>
                <w:sz w:val="22"/>
                <w:szCs w:val="22"/>
                <w:lang w:eastAsia="ru-RU"/>
              </w:rPr>
              <w:t xml:space="preserve">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C23E97" w:rsidRPr="00231029" w:rsidRDefault="00C23E97" w:rsidP="00C23E97">
            <w:pPr>
              <w:spacing w:before="0"/>
              <w:jc w:val="center"/>
              <w:rPr>
                <w:rFonts w:eastAsia="Times New Roman"/>
                <w:b/>
                <w:bCs/>
                <w:color w:val="000000"/>
                <w:sz w:val="22"/>
                <w:szCs w:val="22"/>
                <w:lang w:eastAsia="ru-RU"/>
              </w:rPr>
            </w:pP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C23E97" w:rsidRPr="00231029" w:rsidRDefault="00C23E97" w:rsidP="00C23E97">
            <w:pPr>
              <w:spacing w:before="0"/>
              <w:jc w:val="right"/>
              <w:rPr>
                <w:rFonts w:eastAsia="Times New Roman"/>
                <w:b/>
                <w:bCs/>
                <w:color w:val="000000"/>
                <w:sz w:val="22"/>
                <w:szCs w:val="22"/>
                <w:lang w:eastAsia="ru-RU"/>
              </w:rPr>
            </w:pPr>
            <w:r>
              <w:rPr>
                <w:rFonts w:eastAsia="Times New Roman"/>
                <w:b/>
                <w:bCs/>
                <w:color w:val="000000"/>
                <w:sz w:val="22"/>
                <w:szCs w:val="22"/>
                <w:lang w:eastAsia="ru-RU"/>
              </w:rPr>
              <w:t>109 089,67</w:t>
            </w:r>
          </w:p>
        </w:tc>
      </w:tr>
    </w:tbl>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23E9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CDC" w:rsidRDefault="00102CDC" w:rsidP="00A7271F">
      <w:pPr>
        <w:spacing w:before="0"/>
      </w:pPr>
      <w:r>
        <w:separator/>
      </w:r>
    </w:p>
  </w:endnote>
  <w:endnote w:type="continuationSeparator" w:id="0">
    <w:p w:rsidR="00102CDC" w:rsidRDefault="00102CDC"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7F0E9B" w:rsidRDefault="007F0E9B">
        <w:pPr>
          <w:pStyle w:val="aff4"/>
          <w:jc w:val="right"/>
        </w:pPr>
        <w:r>
          <w:fldChar w:fldCharType="begin"/>
        </w:r>
        <w:r>
          <w:instrText>PAGE   \* MERGEFORMAT</w:instrText>
        </w:r>
        <w:r>
          <w:fldChar w:fldCharType="separate"/>
        </w:r>
        <w:r w:rsidR="00745030">
          <w:rPr>
            <w:noProof/>
          </w:rPr>
          <w:t>106</w:t>
        </w:r>
        <w:r>
          <w:fldChar w:fldCharType="end"/>
        </w:r>
      </w:p>
    </w:sdtContent>
  </w:sdt>
  <w:p w:rsidR="007F0E9B" w:rsidRDefault="007F0E9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CDC" w:rsidRDefault="00102CDC" w:rsidP="00A7271F">
      <w:pPr>
        <w:spacing w:before="0"/>
      </w:pPr>
      <w:r>
        <w:separator/>
      </w:r>
    </w:p>
  </w:footnote>
  <w:footnote w:type="continuationSeparator" w:id="0">
    <w:p w:rsidR="00102CDC" w:rsidRDefault="00102CDC" w:rsidP="00A7271F">
      <w:pPr>
        <w:spacing w:before="0"/>
      </w:pPr>
      <w:r>
        <w:continuationSeparator/>
      </w:r>
    </w:p>
  </w:footnote>
  <w:footnote w:id="1">
    <w:p w:rsidR="007F0E9B" w:rsidRDefault="007F0E9B"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F0E9B" w:rsidRDefault="007F0E9B"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F0E9B" w:rsidRDefault="007F0E9B"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F0E9B" w:rsidRDefault="007F0E9B"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8906316"/>
    <w:multiLevelType w:val="multilevel"/>
    <w:tmpl w:val="1C2C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8"/>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5"/>
  </w:num>
  <w:num w:numId="9">
    <w:abstractNumId w:val="8"/>
  </w:num>
  <w:num w:numId="10">
    <w:abstractNumId w:val="4"/>
  </w:num>
  <w:num w:numId="11">
    <w:abstractNumId w:val="22"/>
  </w:num>
  <w:num w:numId="12">
    <w:abstractNumId w:val="17"/>
  </w:num>
  <w:num w:numId="13">
    <w:abstractNumId w:val="7"/>
  </w:num>
  <w:num w:numId="14">
    <w:abstractNumId w:val="0"/>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3"/>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4643"/>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97264"/>
    <w:rsid w:val="000A254E"/>
    <w:rsid w:val="000A33FA"/>
    <w:rsid w:val="000A4994"/>
    <w:rsid w:val="000A51D3"/>
    <w:rsid w:val="000B1BD5"/>
    <w:rsid w:val="000B2C9E"/>
    <w:rsid w:val="000C1E36"/>
    <w:rsid w:val="000C3F0D"/>
    <w:rsid w:val="000C4C8B"/>
    <w:rsid w:val="000C5172"/>
    <w:rsid w:val="000C6244"/>
    <w:rsid w:val="000C6854"/>
    <w:rsid w:val="000C7718"/>
    <w:rsid w:val="000D0A32"/>
    <w:rsid w:val="000D5A1F"/>
    <w:rsid w:val="000E1268"/>
    <w:rsid w:val="000E2586"/>
    <w:rsid w:val="000E5852"/>
    <w:rsid w:val="000E749E"/>
    <w:rsid w:val="000F1CB7"/>
    <w:rsid w:val="000F64D8"/>
    <w:rsid w:val="00102CDC"/>
    <w:rsid w:val="00102D24"/>
    <w:rsid w:val="0010414A"/>
    <w:rsid w:val="00115B5E"/>
    <w:rsid w:val="00117FD0"/>
    <w:rsid w:val="00120325"/>
    <w:rsid w:val="00125D03"/>
    <w:rsid w:val="0013616F"/>
    <w:rsid w:val="0014292E"/>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18CF"/>
    <w:rsid w:val="0029225B"/>
    <w:rsid w:val="002937B9"/>
    <w:rsid w:val="00293927"/>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5B6D"/>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33FC7"/>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D6F2D"/>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5030"/>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0E9B"/>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0DA2"/>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4700C"/>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3E97"/>
    <w:rsid w:val="00C277CB"/>
    <w:rsid w:val="00C33B7D"/>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6DE"/>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1FD1"/>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2B62"/>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79418244">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6700683">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64908816">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78D06-8A4C-4287-8C23-90781EDF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109</Pages>
  <Words>32548</Words>
  <Characters>185529</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21</cp:revision>
  <cp:lastPrinted>2021-07-21T00:07:00Z</cp:lastPrinted>
  <dcterms:created xsi:type="dcterms:W3CDTF">2021-03-24T23:47:00Z</dcterms:created>
  <dcterms:modified xsi:type="dcterms:W3CDTF">2021-07-21T00:52:00Z</dcterms:modified>
</cp:coreProperties>
</file>